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436976" w:rsidRDefault="005D2F19">
      <w:pPr>
        <w:rPr>
          <w:lang w:val="en-GB"/>
        </w:rPr>
      </w:pPr>
      <w:bookmarkStart w:id="0" w:name="_GoBack"/>
      <w:bookmarkEnd w:id="0"/>
      <w:r w:rsidRPr="00436976">
        <w:rPr>
          <w:noProof/>
        </w:rPr>
        <w:drawing>
          <wp:inline distT="0" distB="0" distL="0" distR="0" wp14:anchorId="56F5CDB3" wp14:editId="2EE13F91">
            <wp:extent cx="5908040" cy="165417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8040" cy="1654175"/>
                    </a:xfrm>
                    <a:prstGeom prst="rect">
                      <a:avLst/>
                    </a:prstGeom>
                    <a:noFill/>
                    <a:ln w="9525">
                      <a:noFill/>
                      <a:miter lim="800000"/>
                      <a:headEnd/>
                      <a:tailEnd/>
                    </a:ln>
                  </pic:spPr>
                </pic:pic>
              </a:graphicData>
            </a:graphic>
          </wp:inline>
        </w:drawing>
      </w:r>
    </w:p>
    <w:p w:rsidR="001E5241" w:rsidRPr="00436976" w:rsidRDefault="001E5241" w:rsidP="000F7E70">
      <w:pPr>
        <w:autoSpaceDE w:val="0"/>
        <w:ind w:left="720" w:firstLine="720"/>
        <w:jc w:val="center"/>
        <w:rPr>
          <w:b/>
          <w:bCs/>
          <w:lang w:val="en-GB"/>
        </w:rPr>
      </w:pPr>
    </w:p>
    <w:p w:rsidR="000F7E70" w:rsidRPr="00436976" w:rsidRDefault="000F7E70" w:rsidP="00481A93">
      <w:pPr>
        <w:autoSpaceDE w:val="0"/>
        <w:jc w:val="center"/>
        <w:rPr>
          <w:b/>
          <w:bCs/>
          <w:lang w:val="en-GB"/>
        </w:rPr>
      </w:pPr>
      <w:r w:rsidRPr="00436976">
        <w:rPr>
          <w:b/>
          <w:bCs/>
          <w:lang w:val="en-GB"/>
        </w:rPr>
        <w:t>OPINION</w:t>
      </w:r>
    </w:p>
    <w:p w:rsidR="003F2396" w:rsidRPr="00436976" w:rsidRDefault="003F2396" w:rsidP="000F7E70">
      <w:pPr>
        <w:autoSpaceDE w:val="0"/>
        <w:jc w:val="both"/>
        <w:rPr>
          <w:b/>
          <w:bCs/>
          <w:lang w:val="en-GB"/>
        </w:rPr>
      </w:pPr>
    </w:p>
    <w:p w:rsidR="000F7E70" w:rsidRPr="00436976" w:rsidRDefault="000F7E70" w:rsidP="000F7E70">
      <w:pPr>
        <w:autoSpaceDE w:val="0"/>
        <w:jc w:val="both"/>
        <w:rPr>
          <w:b/>
          <w:bCs/>
          <w:lang w:val="en-GB"/>
        </w:rPr>
      </w:pPr>
      <w:r w:rsidRPr="00436976">
        <w:rPr>
          <w:b/>
          <w:bCs/>
          <w:lang w:val="en-GB"/>
        </w:rPr>
        <w:t xml:space="preserve">Date of adoption: </w:t>
      </w:r>
      <w:r w:rsidR="00E065DF" w:rsidRPr="00436976">
        <w:rPr>
          <w:b/>
          <w:bCs/>
          <w:lang w:val="en-GB"/>
        </w:rPr>
        <w:t>31</w:t>
      </w:r>
      <w:r w:rsidR="006C083D" w:rsidRPr="00436976">
        <w:rPr>
          <w:b/>
          <w:bCs/>
          <w:lang w:val="en-GB"/>
        </w:rPr>
        <w:t xml:space="preserve"> July</w:t>
      </w:r>
      <w:r w:rsidRPr="00436976">
        <w:rPr>
          <w:b/>
          <w:bCs/>
          <w:lang w:val="en-GB"/>
        </w:rPr>
        <w:t xml:space="preserve"> 20</w:t>
      </w:r>
      <w:r w:rsidR="00C905F1" w:rsidRPr="00436976">
        <w:rPr>
          <w:b/>
          <w:bCs/>
          <w:lang w:val="en-GB"/>
        </w:rPr>
        <w:t>1</w:t>
      </w:r>
      <w:r w:rsidR="001E5241" w:rsidRPr="00436976">
        <w:rPr>
          <w:b/>
          <w:bCs/>
          <w:lang w:val="en-GB"/>
        </w:rPr>
        <w:t>3</w:t>
      </w:r>
    </w:p>
    <w:p w:rsidR="000F7E70" w:rsidRPr="00436976" w:rsidRDefault="000F7E70" w:rsidP="000F7E70">
      <w:pPr>
        <w:autoSpaceDE w:val="0"/>
        <w:jc w:val="both"/>
        <w:rPr>
          <w:b/>
          <w:bCs/>
          <w:lang w:val="en-GB"/>
        </w:rPr>
      </w:pPr>
    </w:p>
    <w:p w:rsidR="003172E9" w:rsidRPr="00436976" w:rsidRDefault="003172E9" w:rsidP="003172E9">
      <w:pPr>
        <w:autoSpaceDE w:val="0"/>
        <w:autoSpaceDN w:val="0"/>
        <w:adjustRightInd w:val="0"/>
        <w:jc w:val="both"/>
        <w:rPr>
          <w:b/>
          <w:bCs/>
          <w:lang w:val="en-GB"/>
        </w:rPr>
      </w:pPr>
      <w:r w:rsidRPr="00436976">
        <w:rPr>
          <w:b/>
          <w:bCs/>
          <w:lang w:val="en-GB"/>
        </w:rPr>
        <w:t>Cases Nos. 42/09 and 128/09</w:t>
      </w:r>
    </w:p>
    <w:p w:rsidR="003172E9" w:rsidRPr="00436976" w:rsidRDefault="003172E9" w:rsidP="003172E9">
      <w:pPr>
        <w:autoSpaceDE w:val="0"/>
        <w:autoSpaceDN w:val="0"/>
        <w:adjustRightInd w:val="0"/>
        <w:jc w:val="both"/>
        <w:rPr>
          <w:b/>
          <w:bCs/>
          <w:lang w:val="en-GB"/>
        </w:rPr>
      </w:pPr>
    </w:p>
    <w:p w:rsidR="003172E9" w:rsidRPr="00436976" w:rsidRDefault="003172E9" w:rsidP="003172E9">
      <w:pPr>
        <w:autoSpaceDE w:val="0"/>
        <w:autoSpaceDN w:val="0"/>
        <w:adjustRightInd w:val="0"/>
        <w:jc w:val="both"/>
        <w:rPr>
          <w:b/>
          <w:bCs/>
          <w:lang w:val="en-GB"/>
        </w:rPr>
      </w:pPr>
      <w:r w:rsidRPr="00436976">
        <w:rPr>
          <w:b/>
          <w:lang w:val="en-GB"/>
        </w:rPr>
        <w:t>Dragica MAJSTOROVI</w:t>
      </w:r>
      <w:r w:rsidRPr="00436976">
        <w:rPr>
          <w:b/>
          <w:caps/>
          <w:lang w:val="en-GB"/>
        </w:rPr>
        <w:t>ć</w:t>
      </w:r>
      <w:r w:rsidRPr="00436976">
        <w:rPr>
          <w:b/>
          <w:lang w:val="en-GB"/>
        </w:rPr>
        <w:t xml:space="preserve"> and Slavica STEVANOVI</w:t>
      </w:r>
      <w:r w:rsidRPr="00436976">
        <w:rPr>
          <w:b/>
          <w:caps/>
          <w:lang w:val="en-GB"/>
        </w:rPr>
        <w:t>ć</w:t>
      </w:r>
      <w:r w:rsidRPr="00436976">
        <w:rPr>
          <w:b/>
          <w:lang w:val="en-GB"/>
        </w:rPr>
        <w:t xml:space="preserve"> </w:t>
      </w:r>
    </w:p>
    <w:p w:rsidR="00A40F98" w:rsidRPr="00436976" w:rsidRDefault="00A40F98" w:rsidP="000F7E70">
      <w:pPr>
        <w:autoSpaceDE w:val="0"/>
        <w:jc w:val="both"/>
        <w:rPr>
          <w:b/>
          <w:bCs/>
          <w:lang w:val="en-GB"/>
        </w:rPr>
      </w:pPr>
    </w:p>
    <w:p w:rsidR="000F7E70" w:rsidRPr="00436976" w:rsidRDefault="000F7E70" w:rsidP="000F7E70">
      <w:pPr>
        <w:autoSpaceDE w:val="0"/>
        <w:jc w:val="both"/>
        <w:rPr>
          <w:b/>
          <w:bCs/>
          <w:lang w:val="en-GB"/>
        </w:rPr>
      </w:pPr>
      <w:proofErr w:type="gramStart"/>
      <w:r w:rsidRPr="00436976">
        <w:rPr>
          <w:b/>
          <w:bCs/>
          <w:lang w:val="en-GB"/>
        </w:rPr>
        <w:t>against</w:t>
      </w:r>
      <w:proofErr w:type="gramEnd"/>
    </w:p>
    <w:p w:rsidR="000F7E70" w:rsidRPr="00436976" w:rsidRDefault="000F7E70" w:rsidP="000F7E70">
      <w:pPr>
        <w:autoSpaceDE w:val="0"/>
        <w:jc w:val="both"/>
        <w:rPr>
          <w:b/>
          <w:bCs/>
          <w:lang w:val="en-GB"/>
        </w:rPr>
      </w:pPr>
      <w:r w:rsidRPr="00436976">
        <w:rPr>
          <w:b/>
          <w:bCs/>
          <w:lang w:val="en-GB"/>
        </w:rPr>
        <w:t xml:space="preserve"> </w:t>
      </w:r>
    </w:p>
    <w:p w:rsidR="000F7E70" w:rsidRPr="00436976" w:rsidRDefault="000F7E70" w:rsidP="000F7E70">
      <w:pPr>
        <w:autoSpaceDE w:val="0"/>
        <w:jc w:val="both"/>
        <w:rPr>
          <w:b/>
          <w:bCs/>
          <w:lang w:val="en-GB"/>
        </w:rPr>
      </w:pPr>
      <w:r w:rsidRPr="00436976">
        <w:rPr>
          <w:b/>
          <w:bCs/>
          <w:lang w:val="en-GB"/>
        </w:rPr>
        <w:t xml:space="preserve">UNMIK </w:t>
      </w:r>
    </w:p>
    <w:p w:rsidR="00E07C8C" w:rsidRPr="00436976" w:rsidRDefault="00E07C8C" w:rsidP="000F7E70">
      <w:pPr>
        <w:autoSpaceDE w:val="0"/>
        <w:jc w:val="both"/>
        <w:rPr>
          <w:b/>
          <w:bCs/>
          <w:lang w:val="en-GB"/>
        </w:rPr>
      </w:pPr>
    </w:p>
    <w:p w:rsidR="004202B2" w:rsidRPr="00436976" w:rsidRDefault="004202B2" w:rsidP="000F7E70">
      <w:pPr>
        <w:autoSpaceDE w:val="0"/>
        <w:jc w:val="both"/>
        <w:rPr>
          <w:b/>
          <w:bCs/>
          <w:lang w:val="en-GB"/>
        </w:rPr>
      </w:pPr>
    </w:p>
    <w:p w:rsidR="000F7E70" w:rsidRPr="00436976" w:rsidRDefault="000F7E70" w:rsidP="000F7E70">
      <w:pPr>
        <w:autoSpaceDE w:val="0"/>
        <w:jc w:val="both"/>
        <w:rPr>
          <w:lang w:val="en-GB"/>
        </w:rPr>
      </w:pPr>
      <w:r w:rsidRPr="00436976">
        <w:rPr>
          <w:lang w:val="en-GB"/>
        </w:rPr>
        <w:t>The Human Rights Advisory Panel</w:t>
      </w:r>
      <w:r w:rsidR="00BD28B4" w:rsidRPr="00436976">
        <w:rPr>
          <w:lang w:val="en-GB"/>
        </w:rPr>
        <w:t>,</w:t>
      </w:r>
      <w:r w:rsidRPr="00436976">
        <w:rPr>
          <w:lang w:val="en-GB"/>
        </w:rPr>
        <w:t xml:space="preserve"> sitting on</w:t>
      </w:r>
      <w:r w:rsidR="001A08B0" w:rsidRPr="00436976">
        <w:rPr>
          <w:lang w:val="en-GB"/>
        </w:rPr>
        <w:t xml:space="preserve"> </w:t>
      </w:r>
      <w:r w:rsidR="00E065DF" w:rsidRPr="00436976">
        <w:rPr>
          <w:lang w:val="en-GB"/>
        </w:rPr>
        <w:t>31</w:t>
      </w:r>
      <w:r w:rsidR="00476D2E" w:rsidRPr="00436976">
        <w:rPr>
          <w:lang w:val="en-GB"/>
        </w:rPr>
        <w:t xml:space="preserve"> </w:t>
      </w:r>
      <w:r w:rsidR="006C083D" w:rsidRPr="00436976">
        <w:rPr>
          <w:lang w:val="en-GB"/>
        </w:rPr>
        <w:t>July</w:t>
      </w:r>
      <w:r w:rsidR="00173F75" w:rsidRPr="00436976">
        <w:rPr>
          <w:lang w:val="en-GB"/>
        </w:rPr>
        <w:t xml:space="preserve"> 20</w:t>
      </w:r>
      <w:r w:rsidR="005917EC" w:rsidRPr="00436976">
        <w:rPr>
          <w:lang w:val="en-GB"/>
        </w:rPr>
        <w:t>1</w:t>
      </w:r>
      <w:r w:rsidR="00025DC5" w:rsidRPr="00436976">
        <w:rPr>
          <w:lang w:val="en-GB"/>
        </w:rPr>
        <w:t>3</w:t>
      </w:r>
      <w:r w:rsidRPr="00436976">
        <w:rPr>
          <w:lang w:val="en-GB"/>
        </w:rPr>
        <w:t xml:space="preserve">, </w:t>
      </w:r>
    </w:p>
    <w:p w:rsidR="000F7E70" w:rsidRPr="00436976" w:rsidRDefault="000F7E70" w:rsidP="000F7E70">
      <w:pPr>
        <w:autoSpaceDE w:val="0"/>
        <w:jc w:val="both"/>
        <w:rPr>
          <w:lang w:val="en-GB"/>
        </w:rPr>
      </w:pPr>
      <w:proofErr w:type="gramStart"/>
      <w:r w:rsidRPr="00436976">
        <w:rPr>
          <w:lang w:val="en-GB"/>
        </w:rPr>
        <w:t>with</w:t>
      </w:r>
      <w:proofErr w:type="gramEnd"/>
      <w:r w:rsidRPr="00436976">
        <w:rPr>
          <w:lang w:val="en-GB"/>
        </w:rPr>
        <w:t xml:space="preserve"> the following members </w:t>
      </w:r>
      <w:r w:rsidR="00BD28B4" w:rsidRPr="00436976">
        <w:rPr>
          <w:lang w:val="en-GB"/>
        </w:rPr>
        <w:t>present</w:t>
      </w:r>
      <w:r w:rsidRPr="00436976">
        <w:rPr>
          <w:lang w:val="en-GB"/>
        </w:rPr>
        <w:t>:</w:t>
      </w:r>
    </w:p>
    <w:p w:rsidR="000F7E70" w:rsidRPr="00436976" w:rsidRDefault="000F7E70" w:rsidP="000F7E70">
      <w:pPr>
        <w:autoSpaceDE w:val="0"/>
        <w:jc w:val="both"/>
        <w:rPr>
          <w:lang w:val="en-GB"/>
        </w:rPr>
      </w:pPr>
    </w:p>
    <w:p w:rsidR="00E07C8C" w:rsidRPr="00436976" w:rsidRDefault="00E07C8C" w:rsidP="000F7E70">
      <w:pPr>
        <w:autoSpaceDE w:val="0"/>
        <w:jc w:val="both"/>
        <w:rPr>
          <w:lang w:val="en-GB"/>
        </w:rPr>
      </w:pPr>
      <w:r w:rsidRPr="00436976">
        <w:rPr>
          <w:lang w:val="en-GB"/>
        </w:rPr>
        <w:t>Mr Marek NOWICKI, Presiding Membe</w:t>
      </w:r>
      <w:r w:rsidR="000D5BCF" w:rsidRPr="00436976">
        <w:rPr>
          <w:lang w:val="en-GB"/>
        </w:rPr>
        <w:t>r</w:t>
      </w:r>
    </w:p>
    <w:p w:rsidR="000F7E70" w:rsidRPr="00436976" w:rsidRDefault="000F7E70" w:rsidP="000F7E70">
      <w:pPr>
        <w:autoSpaceDE w:val="0"/>
        <w:jc w:val="both"/>
        <w:rPr>
          <w:lang w:val="en-GB"/>
        </w:rPr>
      </w:pPr>
      <w:r w:rsidRPr="00436976">
        <w:rPr>
          <w:lang w:val="en-GB"/>
        </w:rPr>
        <w:t xml:space="preserve">Ms </w:t>
      </w:r>
      <w:r w:rsidR="00E07C8C" w:rsidRPr="00436976">
        <w:rPr>
          <w:lang w:val="en-GB"/>
        </w:rPr>
        <w:t>Christine CHINKIN</w:t>
      </w:r>
    </w:p>
    <w:p w:rsidR="00A40F98" w:rsidRPr="00436976" w:rsidRDefault="00A40F98" w:rsidP="000F7E70">
      <w:pPr>
        <w:autoSpaceDE w:val="0"/>
        <w:jc w:val="both"/>
        <w:rPr>
          <w:color w:val="FF0000"/>
          <w:lang w:val="en-GB"/>
        </w:rPr>
      </w:pPr>
      <w:r w:rsidRPr="00436976">
        <w:rPr>
          <w:lang w:val="en-GB"/>
        </w:rPr>
        <w:t xml:space="preserve">Ms Françoise </w:t>
      </w:r>
      <w:r w:rsidR="002C03BD" w:rsidRPr="00436976">
        <w:rPr>
          <w:lang w:val="en-GB"/>
        </w:rPr>
        <w:t>TULKENS</w:t>
      </w:r>
      <w:r w:rsidR="005E6E2D" w:rsidRPr="00436976">
        <w:rPr>
          <w:color w:val="FF0000"/>
          <w:lang w:val="en-GB"/>
        </w:rPr>
        <w:t xml:space="preserve"> </w:t>
      </w:r>
    </w:p>
    <w:p w:rsidR="000F7E70" w:rsidRPr="00436976" w:rsidRDefault="000F7E70" w:rsidP="000F7E70">
      <w:pPr>
        <w:autoSpaceDE w:val="0"/>
        <w:jc w:val="both"/>
        <w:rPr>
          <w:lang w:val="en-GB"/>
        </w:rPr>
      </w:pPr>
    </w:p>
    <w:p w:rsidR="000F7E70" w:rsidRPr="00436976" w:rsidRDefault="00E07C8C" w:rsidP="000F7E70">
      <w:pPr>
        <w:autoSpaceDE w:val="0"/>
        <w:jc w:val="both"/>
        <w:rPr>
          <w:lang w:val="en-GB"/>
        </w:rPr>
      </w:pPr>
      <w:r w:rsidRPr="00436976">
        <w:rPr>
          <w:lang w:val="en-GB"/>
        </w:rPr>
        <w:t>Assisted by</w:t>
      </w:r>
    </w:p>
    <w:p w:rsidR="00E07C8C" w:rsidRPr="00436976" w:rsidRDefault="00E07C8C" w:rsidP="000F7E70">
      <w:pPr>
        <w:autoSpaceDE w:val="0"/>
        <w:jc w:val="both"/>
        <w:rPr>
          <w:lang w:val="en-GB"/>
        </w:rPr>
      </w:pPr>
    </w:p>
    <w:p w:rsidR="000F7E70" w:rsidRPr="00436976" w:rsidRDefault="000F7E70" w:rsidP="000F7E70">
      <w:pPr>
        <w:autoSpaceDE w:val="0"/>
        <w:jc w:val="both"/>
        <w:rPr>
          <w:lang w:val="en-GB"/>
        </w:rPr>
      </w:pPr>
      <w:r w:rsidRPr="00436976">
        <w:rPr>
          <w:lang w:val="en-GB"/>
        </w:rPr>
        <w:t xml:space="preserve">Mr </w:t>
      </w:r>
      <w:r w:rsidR="00E07C8C" w:rsidRPr="00436976">
        <w:rPr>
          <w:lang w:val="en-GB"/>
        </w:rPr>
        <w:t>Andrey ANTONOV</w:t>
      </w:r>
      <w:r w:rsidRPr="00436976">
        <w:rPr>
          <w:lang w:val="en-GB"/>
        </w:rPr>
        <w:t>, Executive Officer</w:t>
      </w:r>
    </w:p>
    <w:p w:rsidR="000F7E70" w:rsidRPr="00436976" w:rsidRDefault="000F7E70" w:rsidP="000F7E70">
      <w:pPr>
        <w:autoSpaceDE w:val="0"/>
        <w:jc w:val="both"/>
        <w:rPr>
          <w:lang w:val="en-GB"/>
        </w:rPr>
      </w:pPr>
    </w:p>
    <w:p w:rsidR="00E07C8C" w:rsidRPr="00436976" w:rsidRDefault="00E07C8C" w:rsidP="000F7E70">
      <w:pPr>
        <w:autoSpaceDE w:val="0"/>
        <w:jc w:val="both"/>
        <w:rPr>
          <w:lang w:val="en-GB"/>
        </w:rPr>
      </w:pPr>
    </w:p>
    <w:p w:rsidR="000F7E70" w:rsidRPr="00436976" w:rsidRDefault="000F7E70" w:rsidP="000F7E70">
      <w:pPr>
        <w:autoSpaceDE w:val="0"/>
        <w:jc w:val="both"/>
        <w:rPr>
          <w:lang w:val="en-GB"/>
        </w:rPr>
      </w:pPr>
      <w:r w:rsidRPr="00436976">
        <w:rPr>
          <w:lang w:val="en-GB"/>
        </w:rPr>
        <w:t>Having considered the aforementioned complaint, introduced pursuant to Section 1.2 of UNMIK Regulation No. 2006/12 of 23 March 2006 on the establishment of the Human Rights Advisory Panel,</w:t>
      </w:r>
    </w:p>
    <w:p w:rsidR="000F7E70" w:rsidRPr="00436976" w:rsidRDefault="000F7E70" w:rsidP="000F7E70">
      <w:pPr>
        <w:autoSpaceDE w:val="0"/>
        <w:jc w:val="both"/>
        <w:rPr>
          <w:lang w:val="en-GB"/>
        </w:rPr>
      </w:pPr>
    </w:p>
    <w:p w:rsidR="000F7E70" w:rsidRPr="00436976" w:rsidRDefault="000F7E70" w:rsidP="000F7E70">
      <w:pPr>
        <w:autoSpaceDE w:val="0"/>
        <w:jc w:val="both"/>
        <w:rPr>
          <w:lang w:val="en-GB"/>
        </w:rPr>
      </w:pPr>
      <w:r w:rsidRPr="00436976">
        <w:rPr>
          <w:lang w:val="en-GB"/>
        </w:rPr>
        <w:t xml:space="preserve">Having </w:t>
      </w:r>
      <w:proofErr w:type="gramStart"/>
      <w:r w:rsidRPr="00436976">
        <w:rPr>
          <w:lang w:val="en-GB"/>
        </w:rPr>
        <w:t>deliberated,</w:t>
      </w:r>
      <w:proofErr w:type="gramEnd"/>
      <w:r w:rsidRPr="00436976">
        <w:rPr>
          <w:lang w:val="en-GB"/>
        </w:rPr>
        <w:t xml:space="preserve"> makes the following findings and recommendations:</w:t>
      </w:r>
    </w:p>
    <w:p w:rsidR="000F7E70" w:rsidRPr="00436976" w:rsidRDefault="000F7E70" w:rsidP="000F7E70">
      <w:pPr>
        <w:autoSpaceDE w:val="0"/>
        <w:jc w:val="both"/>
        <w:rPr>
          <w:lang w:val="en-GB"/>
        </w:rPr>
      </w:pPr>
      <w:r w:rsidRPr="00436976">
        <w:rPr>
          <w:lang w:val="en-GB"/>
        </w:rPr>
        <w:t xml:space="preserve"> </w:t>
      </w:r>
    </w:p>
    <w:p w:rsidR="0016154E" w:rsidRPr="00436976" w:rsidRDefault="0016154E" w:rsidP="000F7E70">
      <w:pPr>
        <w:autoSpaceDE w:val="0"/>
        <w:jc w:val="both"/>
        <w:rPr>
          <w:lang w:val="en-GB"/>
        </w:rPr>
      </w:pPr>
    </w:p>
    <w:p w:rsidR="0016154E" w:rsidRPr="00436976" w:rsidRDefault="0016154E" w:rsidP="00E63CC3">
      <w:pPr>
        <w:numPr>
          <w:ilvl w:val="0"/>
          <w:numId w:val="1"/>
        </w:numPr>
        <w:suppressAutoHyphens/>
        <w:autoSpaceDE w:val="0"/>
        <w:ind w:left="360" w:hanging="360"/>
        <w:jc w:val="both"/>
        <w:rPr>
          <w:b/>
          <w:bCs/>
          <w:lang w:val="en-GB"/>
        </w:rPr>
      </w:pPr>
      <w:r w:rsidRPr="00436976">
        <w:rPr>
          <w:b/>
          <w:bCs/>
          <w:lang w:val="en-GB"/>
        </w:rPr>
        <w:t>PROCEEDINGS BEFORE THE PANEL</w:t>
      </w:r>
    </w:p>
    <w:p w:rsidR="0016154E" w:rsidRPr="00436976" w:rsidRDefault="0016154E" w:rsidP="0016154E">
      <w:pPr>
        <w:autoSpaceDE w:val="0"/>
        <w:jc w:val="both"/>
        <w:rPr>
          <w:b/>
          <w:bCs/>
          <w:lang w:val="en-GB"/>
        </w:rPr>
      </w:pPr>
    </w:p>
    <w:p w:rsidR="00D543C9" w:rsidRPr="00436976" w:rsidRDefault="00D543C9" w:rsidP="00E63CC3">
      <w:pPr>
        <w:pStyle w:val="Default"/>
        <w:numPr>
          <w:ilvl w:val="0"/>
          <w:numId w:val="4"/>
        </w:numPr>
        <w:jc w:val="both"/>
        <w:rPr>
          <w:lang w:val="en-GB"/>
        </w:rPr>
      </w:pPr>
      <w:r w:rsidRPr="00436976">
        <w:rPr>
          <w:lang w:val="en-GB"/>
        </w:rPr>
        <w:t>The complaint of Mrs Dragica Majstorović (no. 42/09) was introduced on 3 April 2009 and registered on 10 April 2009.</w:t>
      </w:r>
    </w:p>
    <w:p w:rsidR="00D543C9" w:rsidRPr="00436976" w:rsidRDefault="00D543C9" w:rsidP="00D543C9">
      <w:pPr>
        <w:pStyle w:val="Default"/>
        <w:ind w:left="360"/>
        <w:jc w:val="both"/>
        <w:rPr>
          <w:lang w:val="en-GB"/>
        </w:rPr>
      </w:pPr>
    </w:p>
    <w:p w:rsidR="00D543C9" w:rsidRPr="00436976" w:rsidRDefault="00D543C9" w:rsidP="00E63CC3">
      <w:pPr>
        <w:pStyle w:val="Default"/>
        <w:numPr>
          <w:ilvl w:val="0"/>
          <w:numId w:val="4"/>
        </w:numPr>
        <w:jc w:val="both"/>
        <w:rPr>
          <w:b/>
          <w:lang w:val="en-GB"/>
        </w:rPr>
      </w:pPr>
      <w:r w:rsidRPr="00436976">
        <w:rPr>
          <w:lang w:val="en-GB"/>
        </w:rPr>
        <w:t>The complaint of Mrs Slavica Stevanović (no. 128/09) was introduced on 10 February 2009 and registered on 30 April 2009.</w:t>
      </w:r>
    </w:p>
    <w:p w:rsidR="00D543C9" w:rsidRPr="00436976" w:rsidRDefault="00D543C9" w:rsidP="00E63CC3">
      <w:pPr>
        <w:pStyle w:val="Default"/>
        <w:numPr>
          <w:ilvl w:val="0"/>
          <w:numId w:val="4"/>
        </w:numPr>
        <w:jc w:val="both"/>
        <w:rPr>
          <w:b/>
          <w:lang w:val="en-GB"/>
        </w:rPr>
      </w:pPr>
      <w:r w:rsidRPr="00436976">
        <w:rPr>
          <w:lang w:val="en-GB"/>
        </w:rPr>
        <w:lastRenderedPageBreak/>
        <w:t>On 2 March 2010, the complaint of Mrs Majstorović (no. 42/09) was communicated to the Special Representative of the Secretary-General (SRSG)</w:t>
      </w:r>
      <w:r w:rsidR="00EA7EB9" w:rsidRPr="00436976">
        <w:rPr>
          <w:rStyle w:val="FootnoteReference"/>
          <w:lang w:val="en-GB"/>
        </w:rPr>
        <w:footnoteReference w:id="1"/>
      </w:r>
      <w:r w:rsidRPr="00436976">
        <w:rPr>
          <w:lang w:val="en-GB"/>
        </w:rPr>
        <w:t>, for comments on admissibility. On 12 April 2010, the Panel received a response from the SRSG.</w:t>
      </w:r>
    </w:p>
    <w:p w:rsidR="00D543C9" w:rsidRPr="00436976" w:rsidRDefault="00D543C9" w:rsidP="00D543C9">
      <w:pPr>
        <w:pStyle w:val="ListParagraph"/>
        <w:rPr>
          <w:lang w:val="en-GB"/>
        </w:rPr>
      </w:pPr>
    </w:p>
    <w:p w:rsidR="00D543C9" w:rsidRPr="00436976" w:rsidRDefault="00D543C9" w:rsidP="00E63CC3">
      <w:pPr>
        <w:numPr>
          <w:ilvl w:val="0"/>
          <w:numId w:val="4"/>
        </w:numPr>
        <w:jc w:val="both"/>
        <w:rPr>
          <w:lang w:val="en-GB"/>
        </w:rPr>
      </w:pPr>
      <w:r w:rsidRPr="00436976">
        <w:rPr>
          <w:lang w:val="en-GB"/>
        </w:rPr>
        <w:t>On 3 March 2010, the Panel requested Mrs Stevanović to submit additional information. The request was repeated on 23 February 2011. No response from this complainant has been received by the Panel.</w:t>
      </w:r>
    </w:p>
    <w:p w:rsidR="00D543C9" w:rsidRPr="00436976" w:rsidRDefault="00D543C9" w:rsidP="00D543C9">
      <w:pPr>
        <w:pStyle w:val="ListParagraph"/>
        <w:rPr>
          <w:lang w:val="en-GB"/>
        </w:rPr>
      </w:pPr>
    </w:p>
    <w:p w:rsidR="00D543C9" w:rsidRPr="00436976" w:rsidRDefault="00D543C9" w:rsidP="00E63CC3">
      <w:pPr>
        <w:numPr>
          <w:ilvl w:val="0"/>
          <w:numId w:val="4"/>
        </w:numPr>
        <w:jc w:val="both"/>
        <w:rPr>
          <w:lang w:val="en-GB"/>
        </w:rPr>
      </w:pPr>
      <w:r w:rsidRPr="00436976">
        <w:rPr>
          <w:lang w:val="en-GB"/>
        </w:rPr>
        <w:t>On 9 September 2010, the Panel joined the complaint of Mrs Majstorović (no. 42/09) with the complaint of Mrs Stevanović (no. 128/09), pursuant to Rule 20 of the Panel’s Rules of Procedure.</w:t>
      </w:r>
    </w:p>
    <w:p w:rsidR="00D543C9" w:rsidRPr="00436976" w:rsidRDefault="00D543C9" w:rsidP="00D543C9">
      <w:pPr>
        <w:pStyle w:val="ListParagraph"/>
        <w:rPr>
          <w:lang w:val="en-GB"/>
        </w:rPr>
      </w:pPr>
    </w:p>
    <w:p w:rsidR="00D543C9" w:rsidRPr="00436976" w:rsidRDefault="00D543C9" w:rsidP="00E63CC3">
      <w:pPr>
        <w:numPr>
          <w:ilvl w:val="0"/>
          <w:numId w:val="4"/>
        </w:numPr>
        <w:jc w:val="both"/>
        <w:rPr>
          <w:b/>
          <w:lang w:val="en-GB"/>
        </w:rPr>
      </w:pPr>
      <w:r w:rsidRPr="00436976">
        <w:rPr>
          <w:lang w:val="en-GB"/>
        </w:rPr>
        <w:t>On 8 July 2011, the complaint of Mrs Majstorović (no. 42/09) was re-communicated, and the complaint of Mrs Stevanović (no. 128/09) was communicated to the SRSG, for UNMIK’s comments on admissibility. On 11 January 2012, the Panel received a response from the SRSG.</w:t>
      </w:r>
    </w:p>
    <w:p w:rsidR="00D543C9" w:rsidRPr="00436976" w:rsidRDefault="00D543C9" w:rsidP="00D543C9">
      <w:pPr>
        <w:pStyle w:val="ListParagraph"/>
        <w:rPr>
          <w:b/>
          <w:lang w:val="en-GB"/>
        </w:rPr>
      </w:pPr>
    </w:p>
    <w:p w:rsidR="00D543C9" w:rsidRPr="00436976" w:rsidRDefault="00D543C9" w:rsidP="00E63CC3">
      <w:pPr>
        <w:numPr>
          <w:ilvl w:val="0"/>
          <w:numId w:val="4"/>
        </w:numPr>
        <w:jc w:val="both"/>
        <w:rPr>
          <w:b/>
          <w:lang w:val="en-GB"/>
        </w:rPr>
      </w:pPr>
      <w:r w:rsidRPr="00436976">
        <w:rPr>
          <w:lang w:val="en-GB"/>
        </w:rPr>
        <w:t>On 17 February 2012, the Panel declared the complaint admissible.</w:t>
      </w:r>
    </w:p>
    <w:p w:rsidR="00CC6B19" w:rsidRPr="00436976" w:rsidRDefault="00CC6B19" w:rsidP="00CC6B19">
      <w:pPr>
        <w:pStyle w:val="ListParagraph"/>
        <w:rPr>
          <w:highlight w:val="yellow"/>
          <w:lang w:val="en-GB"/>
        </w:rPr>
      </w:pPr>
    </w:p>
    <w:p w:rsidR="008766C9" w:rsidRPr="00436976" w:rsidRDefault="00F855B3" w:rsidP="00E63CC3">
      <w:pPr>
        <w:pStyle w:val="Default"/>
        <w:numPr>
          <w:ilvl w:val="0"/>
          <w:numId w:val="2"/>
        </w:numPr>
        <w:jc w:val="both"/>
        <w:rPr>
          <w:lang w:val="en-GB"/>
        </w:rPr>
      </w:pPr>
      <w:r w:rsidRPr="00436976">
        <w:rPr>
          <w:lang w:val="en-GB"/>
        </w:rPr>
        <w:t xml:space="preserve">On </w:t>
      </w:r>
      <w:r w:rsidR="00D543C9" w:rsidRPr="00436976">
        <w:rPr>
          <w:lang w:val="en-GB"/>
        </w:rPr>
        <w:t xml:space="preserve">21 February </w:t>
      </w:r>
      <w:r w:rsidRPr="00436976">
        <w:rPr>
          <w:lang w:val="en-GB"/>
        </w:rPr>
        <w:t>201</w:t>
      </w:r>
      <w:r w:rsidR="00D543C9" w:rsidRPr="00436976">
        <w:rPr>
          <w:lang w:val="en-GB"/>
        </w:rPr>
        <w:t>2</w:t>
      </w:r>
      <w:r w:rsidR="007F758E" w:rsidRPr="00436976">
        <w:rPr>
          <w:lang w:val="en-GB"/>
        </w:rPr>
        <w:t>,</w:t>
      </w:r>
      <w:r w:rsidRPr="00436976">
        <w:rPr>
          <w:lang w:val="en-GB"/>
        </w:rPr>
        <w:t xml:space="preserve"> the Panel forwarded its decision to the SRSG requesting UNMIK’s comments on the merits of the complaint</w:t>
      </w:r>
      <w:r w:rsidR="00CC6B19" w:rsidRPr="00436976">
        <w:rPr>
          <w:lang w:val="en-GB"/>
        </w:rPr>
        <w:t xml:space="preserve"> together with all files concerning the criminal investigation</w:t>
      </w:r>
      <w:r w:rsidR="00154E5E" w:rsidRPr="00436976">
        <w:rPr>
          <w:lang w:val="en-GB"/>
        </w:rPr>
        <w:t>.</w:t>
      </w:r>
      <w:r w:rsidR="00D543C9" w:rsidRPr="00436976">
        <w:rPr>
          <w:lang w:val="en-GB"/>
        </w:rPr>
        <w:t xml:space="preserve"> On 19</w:t>
      </w:r>
      <w:r w:rsidR="00CC6B19" w:rsidRPr="00436976">
        <w:rPr>
          <w:lang w:val="en-GB"/>
        </w:rPr>
        <w:t xml:space="preserve"> </w:t>
      </w:r>
      <w:r w:rsidR="00D543C9" w:rsidRPr="00436976">
        <w:rPr>
          <w:lang w:val="en-GB"/>
        </w:rPr>
        <w:t>April 2012</w:t>
      </w:r>
      <w:r w:rsidR="007F758E" w:rsidRPr="00436976">
        <w:rPr>
          <w:lang w:val="en-GB"/>
        </w:rPr>
        <w:t>,</w:t>
      </w:r>
      <w:r w:rsidR="00CC6B19" w:rsidRPr="00436976">
        <w:rPr>
          <w:lang w:val="en-GB"/>
        </w:rPr>
        <w:t xml:space="preserve"> the SRSG provided UNMIK’s comments together with the requested files.</w:t>
      </w:r>
    </w:p>
    <w:p w:rsidR="008766C9" w:rsidRPr="00436976" w:rsidRDefault="008766C9" w:rsidP="008766C9">
      <w:pPr>
        <w:pStyle w:val="ListParagraph"/>
        <w:rPr>
          <w:lang w:val="en-GB"/>
        </w:rPr>
      </w:pPr>
    </w:p>
    <w:p w:rsidR="003F2396" w:rsidRPr="00436976" w:rsidRDefault="00ED3AEF" w:rsidP="003F2396">
      <w:pPr>
        <w:pStyle w:val="Default"/>
        <w:numPr>
          <w:ilvl w:val="0"/>
          <w:numId w:val="2"/>
        </w:numPr>
        <w:jc w:val="both"/>
        <w:rPr>
          <w:lang w:val="en-GB"/>
        </w:rPr>
      </w:pPr>
      <w:r w:rsidRPr="00436976">
        <w:rPr>
          <w:lang w:val="en-GB"/>
        </w:rPr>
        <w:t>On 17</w:t>
      </w:r>
      <w:r w:rsidR="008766C9" w:rsidRPr="00436976">
        <w:rPr>
          <w:lang w:val="en-GB"/>
        </w:rPr>
        <w:t xml:space="preserve"> </w:t>
      </w:r>
      <w:r w:rsidR="00BA50F9" w:rsidRPr="00436976">
        <w:rPr>
          <w:lang w:val="en-GB"/>
        </w:rPr>
        <w:t xml:space="preserve">June </w:t>
      </w:r>
      <w:r w:rsidR="008766C9" w:rsidRPr="00436976">
        <w:rPr>
          <w:lang w:val="en-GB"/>
        </w:rPr>
        <w:t xml:space="preserve">2013, the Panel requested UNMIK to confirm whether the disclosure of files concerning the case could be considered final. </w:t>
      </w:r>
    </w:p>
    <w:p w:rsidR="003F2396" w:rsidRPr="00436976" w:rsidRDefault="003F2396" w:rsidP="003F2396">
      <w:pPr>
        <w:pStyle w:val="ListParagraph"/>
        <w:rPr>
          <w:lang w:val="en-GB"/>
        </w:rPr>
      </w:pPr>
    </w:p>
    <w:p w:rsidR="008766C9" w:rsidRPr="00436976" w:rsidRDefault="008766C9" w:rsidP="003F2396">
      <w:pPr>
        <w:pStyle w:val="Default"/>
        <w:numPr>
          <w:ilvl w:val="0"/>
          <w:numId w:val="2"/>
        </w:numPr>
        <w:jc w:val="both"/>
        <w:rPr>
          <w:lang w:val="en-GB"/>
        </w:rPr>
      </w:pPr>
      <w:r w:rsidRPr="00436976">
        <w:rPr>
          <w:color w:val="auto"/>
          <w:lang w:val="en-GB"/>
        </w:rPr>
        <w:t xml:space="preserve">On </w:t>
      </w:r>
      <w:r w:rsidR="00ED3AEF" w:rsidRPr="00436976">
        <w:rPr>
          <w:color w:val="auto"/>
          <w:lang w:val="en-GB"/>
        </w:rPr>
        <w:t>18 June 2013</w:t>
      </w:r>
      <w:r w:rsidRPr="00436976">
        <w:rPr>
          <w:color w:val="auto"/>
          <w:lang w:val="en-GB"/>
        </w:rPr>
        <w:t>, the SRSG provided UNMIK’s response</w:t>
      </w:r>
      <w:r w:rsidR="003F2396" w:rsidRPr="00436976">
        <w:rPr>
          <w:color w:val="auto"/>
          <w:lang w:val="en-GB"/>
        </w:rPr>
        <w:t>.</w:t>
      </w:r>
    </w:p>
    <w:p w:rsidR="008766C9" w:rsidRPr="00436976" w:rsidRDefault="008766C9" w:rsidP="008766C9">
      <w:pPr>
        <w:pStyle w:val="ListParagraph"/>
        <w:rPr>
          <w:lang w:val="en-GB"/>
        </w:rPr>
      </w:pPr>
    </w:p>
    <w:p w:rsidR="00CC6B19" w:rsidRPr="00436976" w:rsidRDefault="00CC6B19" w:rsidP="007C65E0">
      <w:pPr>
        <w:pStyle w:val="ListParagraph"/>
        <w:rPr>
          <w:lang w:val="en-GB"/>
        </w:rPr>
      </w:pPr>
    </w:p>
    <w:p w:rsidR="007C65E0" w:rsidRPr="00436976" w:rsidRDefault="007C65E0" w:rsidP="00E63CC3">
      <w:pPr>
        <w:numPr>
          <w:ilvl w:val="0"/>
          <w:numId w:val="1"/>
        </w:numPr>
        <w:suppressAutoHyphens/>
        <w:autoSpaceDE w:val="0"/>
        <w:ind w:left="360" w:hanging="360"/>
        <w:jc w:val="both"/>
        <w:rPr>
          <w:b/>
          <w:bCs/>
          <w:lang w:val="en-GB"/>
        </w:rPr>
      </w:pPr>
      <w:r w:rsidRPr="00436976">
        <w:rPr>
          <w:b/>
          <w:bCs/>
          <w:lang w:val="en-GB"/>
        </w:rPr>
        <w:t>THE FACTS</w:t>
      </w:r>
    </w:p>
    <w:p w:rsidR="00680EF0" w:rsidRPr="00436976" w:rsidRDefault="00680EF0" w:rsidP="007C65E0">
      <w:pPr>
        <w:suppressAutoHyphens/>
        <w:autoSpaceDE w:val="0"/>
        <w:jc w:val="both"/>
        <w:rPr>
          <w:b/>
          <w:bCs/>
          <w:lang w:val="en-GB"/>
        </w:rPr>
      </w:pPr>
    </w:p>
    <w:p w:rsidR="00680EF0" w:rsidRPr="00436976" w:rsidRDefault="00680EF0" w:rsidP="00E63CC3">
      <w:pPr>
        <w:numPr>
          <w:ilvl w:val="0"/>
          <w:numId w:val="3"/>
        </w:numPr>
        <w:contextualSpacing/>
        <w:jc w:val="both"/>
        <w:rPr>
          <w:b/>
          <w:lang w:val="en-GB"/>
        </w:rPr>
      </w:pPr>
      <w:r w:rsidRPr="00436976">
        <w:rPr>
          <w:b/>
          <w:lang w:val="en-GB"/>
        </w:rPr>
        <w:t>General background</w:t>
      </w:r>
      <w:r w:rsidRPr="00436976">
        <w:rPr>
          <w:rStyle w:val="FootnoteReference"/>
          <w:b/>
          <w:lang w:val="en-GB"/>
        </w:rPr>
        <w:footnoteReference w:id="2"/>
      </w:r>
      <w:r w:rsidRPr="00436976">
        <w:rPr>
          <w:b/>
          <w:lang w:val="en-GB"/>
        </w:rPr>
        <w:t xml:space="preserve"> </w:t>
      </w:r>
    </w:p>
    <w:p w:rsidR="00680EF0" w:rsidRPr="00436976" w:rsidRDefault="00680EF0" w:rsidP="00680EF0">
      <w:pPr>
        <w:ind w:left="360"/>
        <w:contextualSpacing/>
        <w:jc w:val="both"/>
        <w:rPr>
          <w:b/>
          <w:lang w:val="en-GB"/>
        </w:rPr>
      </w:pPr>
    </w:p>
    <w:p w:rsidR="00C75A82" w:rsidRPr="00436976" w:rsidRDefault="00C75A82" w:rsidP="00E63CC3">
      <w:pPr>
        <w:pStyle w:val="ListParagraph"/>
        <w:widowControl w:val="0"/>
        <w:numPr>
          <w:ilvl w:val="0"/>
          <w:numId w:val="2"/>
        </w:numPr>
        <w:tabs>
          <w:tab w:val="left" w:pos="1080"/>
        </w:tabs>
        <w:jc w:val="both"/>
        <w:rPr>
          <w:lang w:val="en-GB"/>
        </w:rPr>
      </w:pPr>
      <w:r w:rsidRPr="00436976">
        <w:rPr>
          <w:lang w:val="en-GB"/>
        </w:rPr>
        <w:t xml:space="preserve">The events at issue took place in the territory of Kosovo after the establishment of the United Nations Interim Administration Mission in Kosovo (UNMIK), in June 1999. </w:t>
      </w:r>
    </w:p>
    <w:p w:rsidR="00C75A82" w:rsidRPr="00436976" w:rsidRDefault="00C75A82" w:rsidP="00C75A82">
      <w:pPr>
        <w:tabs>
          <w:tab w:val="left" w:pos="360"/>
        </w:tabs>
        <w:ind w:left="360" w:hanging="360"/>
        <w:jc w:val="both"/>
        <w:rPr>
          <w:lang w:val="en-GB"/>
        </w:rPr>
      </w:pPr>
    </w:p>
    <w:p w:rsidR="00C75A82" w:rsidRPr="00436976" w:rsidRDefault="00C75A82" w:rsidP="00E63CC3">
      <w:pPr>
        <w:widowControl w:val="0"/>
        <w:numPr>
          <w:ilvl w:val="0"/>
          <w:numId w:val="2"/>
        </w:numPr>
        <w:tabs>
          <w:tab w:val="left" w:pos="1080"/>
        </w:tabs>
        <w:suppressAutoHyphens/>
        <w:jc w:val="both"/>
        <w:rPr>
          <w:lang w:val="en-GB"/>
        </w:rPr>
      </w:pPr>
      <w:r w:rsidRPr="00436976">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436976" w:rsidRDefault="00C75A82" w:rsidP="00C75A82">
      <w:pPr>
        <w:tabs>
          <w:tab w:val="left" w:pos="360"/>
        </w:tabs>
        <w:ind w:left="360" w:hanging="360"/>
        <w:jc w:val="both"/>
        <w:rPr>
          <w:lang w:val="en-GB"/>
        </w:rPr>
      </w:pPr>
    </w:p>
    <w:p w:rsidR="00C75A82" w:rsidRPr="00436976" w:rsidRDefault="00C75A82" w:rsidP="00E63CC3">
      <w:pPr>
        <w:pStyle w:val="ListParagraph"/>
        <w:numPr>
          <w:ilvl w:val="0"/>
          <w:numId w:val="2"/>
        </w:numPr>
        <w:suppressAutoHyphens w:val="0"/>
        <w:contextualSpacing/>
        <w:jc w:val="both"/>
        <w:rPr>
          <w:lang w:val="en-GB"/>
        </w:rPr>
      </w:pPr>
      <w:r w:rsidRPr="00436976">
        <w:rPr>
          <w:lang w:val="en-GB"/>
        </w:rPr>
        <w:t xml:space="preserve"> 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C75A82" w:rsidRPr="00436976" w:rsidRDefault="00C75A82" w:rsidP="00C75A82">
      <w:pPr>
        <w:tabs>
          <w:tab w:val="left" w:pos="360"/>
        </w:tabs>
        <w:ind w:left="360" w:hanging="360"/>
        <w:jc w:val="both"/>
        <w:rPr>
          <w:lang w:val="en-GB"/>
        </w:rPr>
      </w:pPr>
    </w:p>
    <w:p w:rsidR="00C75A82" w:rsidRPr="00436976" w:rsidRDefault="00C75A82" w:rsidP="00E63CC3">
      <w:pPr>
        <w:pStyle w:val="ListParagraph"/>
        <w:numPr>
          <w:ilvl w:val="0"/>
          <w:numId w:val="2"/>
        </w:numPr>
        <w:suppressAutoHyphens w:val="0"/>
        <w:contextualSpacing/>
        <w:jc w:val="both"/>
        <w:rPr>
          <w:lang w:val="en-GB"/>
        </w:rPr>
      </w:pPr>
      <w:r w:rsidRPr="00436976">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436976" w:rsidRDefault="00C75A82" w:rsidP="00C75A82">
      <w:pPr>
        <w:pStyle w:val="ListParagraph"/>
        <w:tabs>
          <w:tab w:val="left" w:pos="360"/>
        </w:tabs>
        <w:ind w:left="360" w:hanging="360"/>
        <w:rPr>
          <w:lang w:val="en-GB"/>
        </w:rPr>
      </w:pPr>
    </w:p>
    <w:p w:rsidR="00C75A82" w:rsidRPr="00436976" w:rsidRDefault="00C75A82" w:rsidP="00E63CC3">
      <w:pPr>
        <w:pStyle w:val="ListParagraph"/>
        <w:numPr>
          <w:ilvl w:val="0"/>
          <w:numId w:val="2"/>
        </w:numPr>
        <w:suppressAutoHyphens w:val="0"/>
        <w:contextualSpacing/>
        <w:jc w:val="both"/>
        <w:rPr>
          <w:lang w:val="en-GB"/>
        </w:rPr>
      </w:pPr>
      <w:r w:rsidRPr="00436976">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436976" w:rsidRDefault="00C75A82" w:rsidP="00C75A82">
      <w:pPr>
        <w:pStyle w:val="ListParagraph"/>
        <w:tabs>
          <w:tab w:val="left" w:pos="360"/>
        </w:tabs>
        <w:ind w:left="360" w:hanging="360"/>
        <w:rPr>
          <w:lang w:val="en-GB"/>
        </w:rPr>
      </w:pPr>
    </w:p>
    <w:p w:rsidR="00C75A82" w:rsidRPr="00436976" w:rsidRDefault="00C75A82" w:rsidP="00E63CC3">
      <w:pPr>
        <w:pStyle w:val="ListParagraph"/>
        <w:numPr>
          <w:ilvl w:val="0"/>
          <w:numId w:val="2"/>
        </w:numPr>
        <w:suppressAutoHyphens w:val="0"/>
        <w:contextualSpacing/>
        <w:jc w:val="both"/>
        <w:rPr>
          <w:lang w:val="en-GB"/>
        </w:rPr>
      </w:pPr>
      <w:r w:rsidRPr="00436976">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436976" w:rsidRDefault="00C75A82" w:rsidP="00C75A82">
      <w:pPr>
        <w:tabs>
          <w:tab w:val="left" w:pos="360"/>
        </w:tabs>
        <w:ind w:left="360" w:hanging="360"/>
        <w:jc w:val="both"/>
        <w:rPr>
          <w:lang w:val="en-GB"/>
        </w:rPr>
      </w:pPr>
    </w:p>
    <w:p w:rsidR="00C75A82" w:rsidRPr="00436976" w:rsidRDefault="00C75A82" w:rsidP="00E63CC3">
      <w:pPr>
        <w:numPr>
          <w:ilvl w:val="0"/>
          <w:numId w:val="2"/>
        </w:numPr>
        <w:jc w:val="both"/>
        <w:rPr>
          <w:lang w:val="en-GB"/>
        </w:rPr>
      </w:pPr>
      <w:r w:rsidRPr="00436976">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436976" w:rsidRDefault="00C75A82" w:rsidP="00C75A82">
      <w:pPr>
        <w:pStyle w:val="ListParagraph"/>
        <w:tabs>
          <w:tab w:val="left" w:pos="360"/>
        </w:tabs>
        <w:ind w:left="360" w:hanging="360"/>
        <w:rPr>
          <w:lang w:val="en-GB"/>
        </w:rPr>
      </w:pPr>
    </w:p>
    <w:p w:rsidR="00C75A82" w:rsidRPr="00436976" w:rsidRDefault="00C75A82" w:rsidP="00E63CC3">
      <w:pPr>
        <w:numPr>
          <w:ilvl w:val="0"/>
          <w:numId w:val="2"/>
        </w:numPr>
        <w:jc w:val="both"/>
        <w:rPr>
          <w:lang w:val="en-GB"/>
        </w:rPr>
      </w:pPr>
      <w:bookmarkStart w:id="1" w:name="_Ref346725038"/>
      <w:r w:rsidRPr="00436976">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1"/>
      <w:r w:rsidRPr="00436976">
        <w:rPr>
          <w:lang w:val="en-GB"/>
        </w:rPr>
        <w:t xml:space="preserve"> </w:t>
      </w:r>
    </w:p>
    <w:p w:rsidR="00C75A82" w:rsidRPr="00436976" w:rsidRDefault="00C75A82" w:rsidP="00C75A82">
      <w:pPr>
        <w:tabs>
          <w:tab w:val="left" w:pos="360"/>
        </w:tabs>
        <w:ind w:left="360" w:hanging="360"/>
        <w:jc w:val="both"/>
        <w:rPr>
          <w:lang w:val="en-GB"/>
        </w:rPr>
      </w:pPr>
    </w:p>
    <w:p w:rsidR="00C75A82" w:rsidRPr="00436976" w:rsidRDefault="00C75A82" w:rsidP="00E63CC3">
      <w:pPr>
        <w:numPr>
          <w:ilvl w:val="0"/>
          <w:numId w:val="2"/>
        </w:numPr>
        <w:jc w:val="both"/>
        <w:rPr>
          <w:lang w:val="en-GB"/>
        </w:rPr>
      </w:pPr>
      <w:bookmarkStart w:id="2" w:name="_Ref346123767"/>
      <w:r w:rsidRPr="00436976">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2"/>
      <w:r w:rsidRPr="00436976">
        <w:rPr>
          <w:lang w:val="en-GB"/>
        </w:rPr>
        <w:t xml:space="preserve"> </w:t>
      </w:r>
    </w:p>
    <w:p w:rsidR="00C75A82" w:rsidRPr="00436976" w:rsidRDefault="00C75A82" w:rsidP="00C75A82">
      <w:pPr>
        <w:tabs>
          <w:tab w:val="left" w:pos="360"/>
        </w:tabs>
        <w:ind w:left="360" w:hanging="360"/>
        <w:jc w:val="both"/>
        <w:rPr>
          <w:lang w:val="en-GB"/>
        </w:rPr>
      </w:pPr>
    </w:p>
    <w:p w:rsidR="00C75A82" w:rsidRPr="00436976" w:rsidRDefault="00C75A82" w:rsidP="00E63CC3">
      <w:pPr>
        <w:numPr>
          <w:ilvl w:val="0"/>
          <w:numId w:val="2"/>
        </w:numPr>
        <w:jc w:val="both"/>
        <w:rPr>
          <w:lang w:val="en-GB"/>
        </w:rPr>
      </w:pPr>
      <w:bookmarkStart w:id="3" w:name="_Ref346725040"/>
      <w:r w:rsidRPr="00436976">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436976">
        <w:rPr>
          <w:lang w:val="en-GB"/>
        </w:rPr>
        <w:t>persons</w:t>
      </w:r>
      <w:proofErr w:type="gramEnd"/>
      <w:r w:rsidRPr="00436976">
        <w:rPr>
          <w:lang w:val="en-GB"/>
        </w:rPr>
        <w:t xml:space="preserve"> cases in Kosovo. In May 2000, a Victim Recovery and Identification Commission (VRIC) chaired by UNMIK </w:t>
      </w:r>
      <w:proofErr w:type="gramStart"/>
      <w:r w:rsidRPr="00436976">
        <w:rPr>
          <w:lang w:val="en-GB"/>
        </w:rPr>
        <w:t>was</w:t>
      </w:r>
      <w:proofErr w:type="gramEnd"/>
      <w:r w:rsidRPr="00436976">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436976">
        <w:rPr>
          <w:lang w:val="en-GB"/>
        </w:rPr>
        <w:t>persons,</w:t>
      </w:r>
      <w:proofErr w:type="gramEnd"/>
      <w:r w:rsidRPr="00436976">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3"/>
      <w:r w:rsidRPr="00436976">
        <w:rPr>
          <w:lang w:val="en-GB"/>
        </w:rPr>
        <w:t xml:space="preserve"> </w:t>
      </w:r>
    </w:p>
    <w:p w:rsidR="00C75A82" w:rsidRPr="00436976" w:rsidRDefault="00C75A82" w:rsidP="00C75A82">
      <w:pPr>
        <w:tabs>
          <w:tab w:val="left" w:pos="360"/>
        </w:tabs>
        <w:ind w:left="360" w:hanging="360"/>
        <w:jc w:val="both"/>
        <w:rPr>
          <w:lang w:val="en-GB"/>
        </w:rPr>
      </w:pPr>
    </w:p>
    <w:p w:rsidR="00C75A82" w:rsidRPr="00436976" w:rsidRDefault="00C75A82" w:rsidP="00E63CC3">
      <w:pPr>
        <w:numPr>
          <w:ilvl w:val="0"/>
          <w:numId w:val="2"/>
        </w:numPr>
        <w:jc w:val="both"/>
        <w:rPr>
          <w:lang w:val="en-GB"/>
        </w:rPr>
      </w:pPr>
      <w:bookmarkStart w:id="4" w:name="_Ref346123927"/>
      <w:r w:rsidRPr="00436976">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4"/>
    </w:p>
    <w:p w:rsidR="00C75A82" w:rsidRPr="00436976" w:rsidRDefault="00C75A82" w:rsidP="00C75A82">
      <w:pPr>
        <w:pStyle w:val="ListParagraph"/>
        <w:tabs>
          <w:tab w:val="left" w:pos="360"/>
        </w:tabs>
        <w:ind w:left="360" w:hanging="360"/>
        <w:rPr>
          <w:lang w:val="en-GB"/>
        </w:rPr>
      </w:pPr>
    </w:p>
    <w:p w:rsidR="00680EF0" w:rsidRPr="00436976" w:rsidRDefault="00C75A82" w:rsidP="00E63CC3">
      <w:pPr>
        <w:numPr>
          <w:ilvl w:val="0"/>
          <w:numId w:val="2"/>
        </w:numPr>
        <w:jc w:val="both"/>
        <w:rPr>
          <w:lang w:val="en-GB"/>
        </w:rPr>
      </w:pPr>
      <w:bookmarkStart w:id="5" w:name="_Ref346123928"/>
      <w:r w:rsidRPr="00436976">
        <w:rPr>
          <w:lang w:val="en-GB"/>
        </w:rPr>
        <w:t>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5"/>
    </w:p>
    <w:p w:rsidR="00C0731E" w:rsidRPr="00436976" w:rsidRDefault="00C0731E" w:rsidP="00A73D67">
      <w:pPr>
        <w:ind w:left="360"/>
        <w:jc w:val="both"/>
        <w:rPr>
          <w:lang w:val="en-GB"/>
        </w:rPr>
      </w:pPr>
    </w:p>
    <w:p w:rsidR="00A73D67" w:rsidRPr="00436976" w:rsidRDefault="00A73D67" w:rsidP="00E63CC3">
      <w:pPr>
        <w:pStyle w:val="ListParagraph"/>
        <w:numPr>
          <w:ilvl w:val="0"/>
          <w:numId w:val="3"/>
        </w:numPr>
        <w:autoSpaceDE w:val="0"/>
        <w:jc w:val="both"/>
        <w:rPr>
          <w:b/>
          <w:lang w:val="en-GB"/>
        </w:rPr>
      </w:pPr>
      <w:r w:rsidRPr="00436976">
        <w:rPr>
          <w:b/>
          <w:bCs/>
          <w:lang w:val="en-GB"/>
        </w:rPr>
        <w:t>Circumstances surrounding the abduction</w:t>
      </w:r>
      <w:r w:rsidR="00B5340C" w:rsidRPr="00436976">
        <w:rPr>
          <w:b/>
          <w:bCs/>
          <w:lang w:val="en-GB"/>
        </w:rPr>
        <w:t>s</w:t>
      </w:r>
      <w:r w:rsidRPr="00436976">
        <w:rPr>
          <w:b/>
          <w:bCs/>
          <w:lang w:val="en-GB"/>
        </w:rPr>
        <w:t xml:space="preserve"> of </w:t>
      </w:r>
      <w:r w:rsidR="00190271" w:rsidRPr="00436976">
        <w:rPr>
          <w:b/>
          <w:lang w:val="en-GB"/>
        </w:rPr>
        <w:t xml:space="preserve">Mr </w:t>
      </w:r>
      <w:r w:rsidR="00B5340C" w:rsidRPr="00436976">
        <w:rPr>
          <w:b/>
          <w:lang w:val="en-GB"/>
        </w:rPr>
        <w:t>Ivan Majstorović and Mr Dragan Stevanović</w:t>
      </w:r>
    </w:p>
    <w:p w:rsidR="00190271" w:rsidRPr="00436976" w:rsidRDefault="00190271" w:rsidP="00190271">
      <w:pPr>
        <w:pStyle w:val="ListParagraph"/>
        <w:autoSpaceDE w:val="0"/>
        <w:ind w:left="360"/>
        <w:jc w:val="both"/>
        <w:rPr>
          <w:lang w:val="en-GB"/>
        </w:rPr>
      </w:pPr>
    </w:p>
    <w:p w:rsidR="00B5340C" w:rsidRPr="00436976" w:rsidRDefault="00B5340C" w:rsidP="00E63CC3">
      <w:pPr>
        <w:numPr>
          <w:ilvl w:val="0"/>
          <w:numId w:val="2"/>
        </w:numPr>
        <w:jc w:val="both"/>
        <w:rPr>
          <w:lang w:val="en-GB"/>
        </w:rPr>
      </w:pPr>
      <w:bookmarkStart w:id="6" w:name="_Ref361737707"/>
      <w:r w:rsidRPr="00436976">
        <w:rPr>
          <w:lang w:val="en-GB"/>
        </w:rPr>
        <w:t>Mrs Dragica Majstorović is the mother of Mr Ivan Majstorović. Mrs Slavica Stevanović is the wife of Mr Dragan Stevanović.</w:t>
      </w:r>
    </w:p>
    <w:p w:rsidR="00B5340C" w:rsidRPr="00436976" w:rsidRDefault="00B5340C" w:rsidP="00B5340C">
      <w:pPr>
        <w:ind w:left="360"/>
        <w:jc w:val="both"/>
        <w:rPr>
          <w:lang w:val="en-GB"/>
        </w:rPr>
      </w:pPr>
    </w:p>
    <w:p w:rsidR="00B5340C" w:rsidRPr="00436976" w:rsidRDefault="00B5340C" w:rsidP="00E63CC3">
      <w:pPr>
        <w:numPr>
          <w:ilvl w:val="0"/>
          <w:numId w:val="2"/>
        </w:numPr>
        <w:jc w:val="both"/>
        <w:rPr>
          <w:lang w:val="en-GB"/>
        </w:rPr>
      </w:pPr>
      <w:r w:rsidRPr="00436976">
        <w:rPr>
          <w:lang w:val="en-GB"/>
        </w:rPr>
        <w:t xml:space="preserve">The complainants state that Mr Majstorović and Mr Stevanović were abducted on 19 August 1999, in the vicinity of Prishtinё/Priština, by armed members of the </w:t>
      </w:r>
      <w:r w:rsidR="00E065DF" w:rsidRPr="00436976">
        <w:rPr>
          <w:lang w:val="en-GB"/>
        </w:rPr>
        <w:t>KLA</w:t>
      </w:r>
      <w:r w:rsidRPr="00436976">
        <w:rPr>
          <w:lang w:val="en-GB"/>
        </w:rPr>
        <w:t>, while travelling together in Mr Stevanović’s vehicle. Since that time their whereabouts have remained unknown.</w:t>
      </w:r>
    </w:p>
    <w:p w:rsidR="00B5340C" w:rsidRPr="00436976" w:rsidRDefault="00B5340C" w:rsidP="00B5340C">
      <w:pPr>
        <w:pStyle w:val="ListParagraph"/>
        <w:rPr>
          <w:lang w:val="en-GB"/>
        </w:rPr>
      </w:pPr>
    </w:p>
    <w:p w:rsidR="00B5340C" w:rsidRPr="00436976" w:rsidRDefault="00B5340C" w:rsidP="00E63CC3">
      <w:pPr>
        <w:numPr>
          <w:ilvl w:val="0"/>
          <w:numId w:val="2"/>
        </w:numPr>
        <w:jc w:val="both"/>
        <w:rPr>
          <w:lang w:val="en-GB"/>
        </w:rPr>
      </w:pPr>
      <w:r w:rsidRPr="00436976">
        <w:rPr>
          <w:lang w:val="en-GB"/>
        </w:rPr>
        <w:t>Mrs Dragica Majstorović indicates that she reported the abduction of Mr Majstorović to KFOR, UNMIK Police, the Serbian Ministry of Internal Affairs, the ICRC and to the Yugoslav Red Cross. On 24 August 1999, the ICRC opened a tracing request for Mr Majstorović, which remains open until now.</w:t>
      </w:r>
      <w:r w:rsidR="00EB76E7" w:rsidRPr="00436976">
        <w:rPr>
          <w:lang w:val="en-GB"/>
        </w:rPr>
        <w:t xml:space="preserve"> Likewise, </w:t>
      </w:r>
      <w:r w:rsidR="00EB76E7" w:rsidRPr="00436976">
        <w:rPr>
          <w:bCs/>
          <w:lang w:val="en-GB"/>
        </w:rPr>
        <w:t xml:space="preserve">the name of </w:t>
      </w:r>
      <w:r w:rsidR="00EB76E7" w:rsidRPr="00436976">
        <w:rPr>
          <w:lang w:val="en-GB"/>
        </w:rPr>
        <w:t>Ivan Majstorović</w:t>
      </w:r>
      <w:r w:rsidR="00EB76E7" w:rsidRPr="00436976">
        <w:rPr>
          <w:bCs/>
          <w:lang w:val="en-GB"/>
        </w:rPr>
        <w:t xml:space="preserve"> appears in the database compiled by the UNMIK OMPF. The entry in the online list of missing persons maintained by the ICMP</w:t>
      </w:r>
      <w:r w:rsidR="00EB76E7" w:rsidRPr="00436976">
        <w:rPr>
          <w:rStyle w:val="FootnoteReference"/>
          <w:color w:val="464646"/>
          <w:lang w:val="en-GB"/>
        </w:rPr>
        <w:footnoteReference w:id="3"/>
      </w:r>
      <w:r w:rsidR="00EB76E7" w:rsidRPr="00436976">
        <w:rPr>
          <w:bCs/>
          <w:lang w:val="en-GB"/>
        </w:rPr>
        <w:t xml:space="preserve"> with regard to </w:t>
      </w:r>
      <w:r w:rsidR="00EB76E7" w:rsidRPr="00436976">
        <w:rPr>
          <w:lang w:val="en-GB"/>
        </w:rPr>
        <w:t>Ivan Majstorović</w:t>
      </w:r>
      <w:r w:rsidR="00EB76E7" w:rsidRPr="00436976">
        <w:rPr>
          <w:bCs/>
          <w:lang w:val="en-GB"/>
        </w:rPr>
        <w:t xml:space="preserve"> reads, in relevant parts: “sufficient reference samples collected” and </w:t>
      </w:r>
      <w:r w:rsidR="00EB76E7" w:rsidRPr="00436976">
        <w:rPr>
          <w:lang w:val="en-GB"/>
        </w:rPr>
        <w:t>“DNA match not found”</w:t>
      </w:r>
      <w:r w:rsidR="00EB76E7" w:rsidRPr="00436976">
        <w:rPr>
          <w:color w:val="464646"/>
          <w:lang w:val="en-GB"/>
        </w:rPr>
        <w:t>.</w:t>
      </w:r>
    </w:p>
    <w:p w:rsidR="00B5340C" w:rsidRPr="00436976" w:rsidRDefault="00B5340C" w:rsidP="00B5340C">
      <w:pPr>
        <w:ind w:left="360"/>
        <w:jc w:val="both"/>
        <w:rPr>
          <w:lang w:val="en-GB"/>
        </w:rPr>
      </w:pPr>
    </w:p>
    <w:p w:rsidR="00B5340C" w:rsidRPr="00436976" w:rsidRDefault="00B5340C" w:rsidP="00E63CC3">
      <w:pPr>
        <w:widowControl w:val="0"/>
        <w:numPr>
          <w:ilvl w:val="0"/>
          <w:numId w:val="2"/>
        </w:numPr>
        <w:tabs>
          <w:tab w:val="left" w:pos="360"/>
          <w:tab w:val="left" w:pos="1080"/>
        </w:tabs>
        <w:suppressAutoHyphens/>
        <w:jc w:val="both"/>
        <w:rPr>
          <w:bCs/>
          <w:lang w:val="en-GB"/>
        </w:rPr>
      </w:pPr>
      <w:r w:rsidRPr="00436976">
        <w:rPr>
          <w:lang w:val="en-GB"/>
        </w:rPr>
        <w:t>Mrs Slavica Stevanović indicates that the abduction of Mr Stevanović was reported to the ICRC, the Red Cross in Niš (Serbia), and to an International Public Prosecutor in Prishtinё/Priština. On 15 September 1999, the ICRC opened a tracing request for Mr Stevanović, which remains open until now.</w:t>
      </w:r>
      <w:r w:rsidR="00EB76E7" w:rsidRPr="00436976">
        <w:rPr>
          <w:lang w:val="en-GB"/>
        </w:rPr>
        <w:t xml:space="preserve"> Likewise, </w:t>
      </w:r>
      <w:r w:rsidR="00EB76E7" w:rsidRPr="00436976">
        <w:rPr>
          <w:bCs/>
          <w:lang w:val="en-GB"/>
        </w:rPr>
        <w:t xml:space="preserve">the name of </w:t>
      </w:r>
      <w:r w:rsidR="00EB76E7" w:rsidRPr="00436976">
        <w:rPr>
          <w:lang w:val="en-GB"/>
        </w:rPr>
        <w:t>Dragan Stevanović</w:t>
      </w:r>
      <w:r w:rsidR="00EB76E7" w:rsidRPr="00436976">
        <w:rPr>
          <w:bCs/>
          <w:lang w:val="en-GB"/>
        </w:rPr>
        <w:t xml:space="preserve"> appears in the database compiled by the UNMIK OMPF. The entry in the online list of missing persons maintained by the ICMP</w:t>
      </w:r>
      <w:r w:rsidR="00EB76E7" w:rsidRPr="00436976">
        <w:rPr>
          <w:rStyle w:val="FootnoteReference"/>
          <w:color w:val="464646"/>
          <w:lang w:val="en-GB"/>
        </w:rPr>
        <w:footnoteReference w:id="4"/>
      </w:r>
      <w:r w:rsidR="00EB76E7" w:rsidRPr="00436976">
        <w:rPr>
          <w:bCs/>
          <w:lang w:val="en-GB"/>
        </w:rPr>
        <w:t xml:space="preserve"> with regard to </w:t>
      </w:r>
      <w:r w:rsidR="00EB76E7" w:rsidRPr="00436976">
        <w:rPr>
          <w:lang w:val="en-GB"/>
        </w:rPr>
        <w:t>Dragan Stevanović</w:t>
      </w:r>
      <w:r w:rsidR="00EB76E7" w:rsidRPr="00436976">
        <w:rPr>
          <w:bCs/>
          <w:lang w:val="en-GB"/>
        </w:rPr>
        <w:t xml:space="preserve"> reads, in relevant parts: “sufficient reference samples collected” and </w:t>
      </w:r>
      <w:r w:rsidR="00EB76E7" w:rsidRPr="00436976">
        <w:rPr>
          <w:lang w:val="en-GB"/>
        </w:rPr>
        <w:t>“DNA match not found”</w:t>
      </w:r>
      <w:r w:rsidR="00EB76E7" w:rsidRPr="00436976">
        <w:rPr>
          <w:color w:val="464646"/>
          <w:lang w:val="en-GB"/>
        </w:rPr>
        <w:t>.</w:t>
      </w:r>
    </w:p>
    <w:bookmarkEnd w:id="6"/>
    <w:p w:rsidR="00F3555A" w:rsidRPr="00436976" w:rsidRDefault="00F3555A" w:rsidP="003F2396">
      <w:pPr>
        <w:tabs>
          <w:tab w:val="left" w:pos="360"/>
        </w:tabs>
        <w:suppressAutoHyphens/>
        <w:autoSpaceDE w:val="0"/>
        <w:jc w:val="both"/>
        <w:rPr>
          <w:bCs/>
          <w:lang w:val="en-GB"/>
        </w:rPr>
      </w:pPr>
    </w:p>
    <w:p w:rsidR="00F3555A" w:rsidRPr="00436976" w:rsidRDefault="00F3555A" w:rsidP="00E63CC3">
      <w:pPr>
        <w:numPr>
          <w:ilvl w:val="0"/>
          <w:numId w:val="5"/>
        </w:numPr>
        <w:tabs>
          <w:tab w:val="left" w:pos="360"/>
        </w:tabs>
        <w:contextualSpacing/>
        <w:jc w:val="both"/>
        <w:rPr>
          <w:b/>
          <w:lang w:val="en-GB"/>
        </w:rPr>
      </w:pPr>
      <w:r w:rsidRPr="00436976">
        <w:rPr>
          <w:b/>
          <w:lang w:val="en-GB"/>
        </w:rPr>
        <w:t>The Investigation</w:t>
      </w:r>
    </w:p>
    <w:p w:rsidR="00F3555A" w:rsidRPr="00436976" w:rsidRDefault="00F3555A" w:rsidP="00F3555A">
      <w:pPr>
        <w:jc w:val="both"/>
        <w:rPr>
          <w:lang w:val="en-GB"/>
        </w:rPr>
      </w:pPr>
    </w:p>
    <w:p w:rsidR="00DF1042" w:rsidRPr="00436976" w:rsidRDefault="00DF1042" w:rsidP="00DF1042">
      <w:pPr>
        <w:jc w:val="both"/>
        <w:rPr>
          <w:i/>
          <w:lang w:val="en-GB"/>
        </w:rPr>
      </w:pPr>
      <w:bookmarkStart w:id="7" w:name="_Ref347322102"/>
      <w:r w:rsidRPr="00436976">
        <w:rPr>
          <w:i/>
          <w:lang w:val="en-GB"/>
        </w:rPr>
        <w:t>a) Disclosure of relevant files</w:t>
      </w:r>
    </w:p>
    <w:p w:rsidR="00DF1042" w:rsidRPr="00436976" w:rsidRDefault="00DF1042" w:rsidP="00DF1042">
      <w:pPr>
        <w:pStyle w:val="Default"/>
        <w:suppressAutoHyphens/>
        <w:jc w:val="both"/>
        <w:rPr>
          <w:bCs/>
          <w:lang w:val="en-GB"/>
        </w:rPr>
      </w:pPr>
    </w:p>
    <w:p w:rsidR="00F3555A" w:rsidRPr="00436976" w:rsidRDefault="00F3555A" w:rsidP="00E63CC3">
      <w:pPr>
        <w:pStyle w:val="Default"/>
        <w:numPr>
          <w:ilvl w:val="0"/>
          <w:numId w:val="2"/>
        </w:numPr>
        <w:tabs>
          <w:tab w:val="left" w:pos="360"/>
        </w:tabs>
        <w:suppressAutoHyphens/>
        <w:jc w:val="both"/>
        <w:rPr>
          <w:bCs/>
          <w:lang w:val="en-GB"/>
        </w:rPr>
      </w:pPr>
      <w:r w:rsidRPr="00436976">
        <w:rPr>
          <w:lang w:val="en-GB"/>
        </w:rPr>
        <w:t>On</w:t>
      </w:r>
      <w:bookmarkStart w:id="8" w:name="_Ref348357381"/>
      <w:r w:rsidR="00352C9E" w:rsidRPr="00436976">
        <w:rPr>
          <w:lang w:val="en-GB"/>
        </w:rPr>
        <w:t xml:space="preserve"> 19 April 2012</w:t>
      </w:r>
      <w:r w:rsidR="00B01D36" w:rsidRPr="00436976">
        <w:rPr>
          <w:lang w:val="en-GB"/>
        </w:rPr>
        <w:t>,</w:t>
      </w:r>
      <w:r w:rsidRPr="00436976">
        <w:rPr>
          <w:lang w:val="en-GB"/>
        </w:rPr>
        <w:t xml:space="preserve"> </w:t>
      </w:r>
      <w:r w:rsidRPr="00436976">
        <w:rPr>
          <w:bCs/>
          <w:lang w:val="en-GB"/>
        </w:rPr>
        <w:t xml:space="preserve">UNMIK presented to the Panel the documents </w:t>
      </w:r>
      <w:r w:rsidRPr="00436976">
        <w:rPr>
          <w:lang w:val="en-GB"/>
        </w:rPr>
        <w:t xml:space="preserve">which were held previously by the </w:t>
      </w:r>
      <w:r w:rsidR="00B01D36" w:rsidRPr="00436976">
        <w:rPr>
          <w:lang w:val="en-GB"/>
        </w:rPr>
        <w:t xml:space="preserve">UNMIK Police (MPU, WCIU and </w:t>
      </w:r>
      <w:r w:rsidR="00E065DF" w:rsidRPr="00436976">
        <w:rPr>
          <w:lang w:val="en-GB"/>
        </w:rPr>
        <w:t>CCIU), as well as documents received by EULEX</w:t>
      </w:r>
      <w:r w:rsidR="00B01D36" w:rsidRPr="00436976">
        <w:rPr>
          <w:lang w:val="en-GB"/>
        </w:rPr>
        <w:t xml:space="preserve"> </w:t>
      </w:r>
      <w:r w:rsidR="00E065DF" w:rsidRPr="00436976">
        <w:rPr>
          <w:lang w:val="en-GB"/>
        </w:rPr>
        <w:t>from the Kosovo Special Prosecutor’s</w:t>
      </w:r>
      <w:r w:rsidR="00B01D36" w:rsidRPr="00436976">
        <w:rPr>
          <w:lang w:val="en-GB"/>
        </w:rPr>
        <w:t xml:space="preserve"> Office</w:t>
      </w:r>
      <w:r w:rsidRPr="00436976">
        <w:rPr>
          <w:lang w:val="en-GB"/>
        </w:rPr>
        <w:t xml:space="preserve">. On </w:t>
      </w:r>
      <w:r w:rsidR="00ED3AEF" w:rsidRPr="00436976">
        <w:rPr>
          <w:lang w:val="en-GB"/>
        </w:rPr>
        <w:t>18 June</w:t>
      </w:r>
      <w:r w:rsidRPr="00436976">
        <w:rPr>
          <w:lang w:val="en-GB"/>
        </w:rPr>
        <w:t xml:space="preserve"> 2013, UNMIK confirmed to the Panel that all files in UNMIK’s possession have been disclosed.</w:t>
      </w:r>
      <w:bookmarkEnd w:id="8"/>
    </w:p>
    <w:p w:rsidR="00F3555A" w:rsidRPr="00436976" w:rsidRDefault="00F3555A" w:rsidP="00F3555A">
      <w:pPr>
        <w:pStyle w:val="Default"/>
        <w:suppressAutoHyphens/>
        <w:ind w:left="360"/>
        <w:jc w:val="both"/>
        <w:rPr>
          <w:bCs/>
          <w:lang w:val="en-GB"/>
        </w:rPr>
      </w:pPr>
    </w:p>
    <w:p w:rsidR="00F3555A" w:rsidRPr="00436976" w:rsidRDefault="00F3555A" w:rsidP="00E63CC3">
      <w:pPr>
        <w:widowControl w:val="0"/>
        <w:numPr>
          <w:ilvl w:val="0"/>
          <w:numId w:val="2"/>
        </w:numPr>
        <w:tabs>
          <w:tab w:val="left" w:pos="360"/>
          <w:tab w:val="num" w:pos="630"/>
          <w:tab w:val="left" w:pos="1080"/>
        </w:tabs>
        <w:suppressAutoHyphens/>
        <w:jc w:val="both"/>
        <w:rPr>
          <w:bCs/>
          <w:lang w:val="en-GB"/>
        </w:rPr>
      </w:pPr>
      <w:r w:rsidRPr="00436976">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DF1042" w:rsidRPr="00436976" w:rsidRDefault="00DF1042" w:rsidP="00DF1042">
      <w:pPr>
        <w:pStyle w:val="ListParagraph"/>
        <w:rPr>
          <w:bCs/>
          <w:lang w:val="en-GB"/>
        </w:rPr>
      </w:pPr>
    </w:p>
    <w:p w:rsidR="00DF1042" w:rsidRPr="00436976" w:rsidRDefault="00DF1042" w:rsidP="00DF1042">
      <w:pPr>
        <w:jc w:val="both"/>
        <w:rPr>
          <w:i/>
          <w:lang w:val="en-GB"/>
        </w:rPr>
      </w:pPr>
      <w:r w:rsidRPr="00436976">
        <w:rPr>
          <w:i/>
          <w:lang w:val="en-GB"/>
        </w:rPr>
        <w:t>b) The investigation concerning the abduction</w:t>
      </w:r>
      <w:r w:rsidR="00352C9E" w:rsidRPr="00436976">
        <w:rPr>
          <w:i/>
          <w:lang w:val="en-GB"/>
        </w:rPr>
        <w:t>s</w:t>
      </w:r>
      <w:r w:rsidRPr="00436976">
        <w:rPr>
          <w:i/>
          <w:lang w:val="en-GB"/>
        </w:rPr>
        <w:t xml:space="preserve"> of Mr</w:t>
      </w:r>
      <w:r w:rsidR="00352C9E" w:rsidRPr="00436976">
        <w:rPr>
          <w:i/>
          <w:lang w:val="en-GB"/>
        </w:rPr>
        <w:t xml:space="preserve"> Ivan Majstorović and Mr</w:t>
      </w:r>
      <w:r w:rsidR="00352C9E" w:rsidRPr="00436976">
        <w:rPr>
          <w:lang w:val="en-GB"/>
        </w:rPr>
        <w:t xml:space="preserve"> </w:t>
      </w:r>
      <w:r w:rsidR="00352C9E" w:rsidRPr="00436976">
        <w:rPr>
          <w:i/>
          <w:lang w:val="en-GB"/>
        </w:rPr>
        <w:t>Dragan Stevanović</w:t>
      </w:r>
    </w:p>
    <w:bookmarkEnd w:id="7"/>
    <w:p w:rsidR="00F3555A" w:rsidRPr="00436976" w:rsidRDefault="00F3555A" w:rsidP="00F3555A">
      <w:pPr>
        <w:widowControl w:val="0"/>
        <w:tabs>
          <w:tab w:val="left" w:pos="360"/>
          <w:tab w:val="left" w:pos="1080"/>
        </w:tabs>
        <w:suppressAutoHyphens/>
        <w:jc w:val="both"/>
        <w:rPr>
          <w:bCs/>
          <w:lang w:val="en-GB"/>
        </w:rPr>
      </w:pPr>
    </w:p>
    <w:p w:rsidR="00B72B2C" w:rsidRPr="00436976" w:rsidRDefault="00DF1042" w:rsidP="00E63CC3">
      <w:pPr>
        <w:widowControl w:val="0"/>
        <w:numPr>
          <w:ilvl w:val="0"/>
          <w:numId w:val="2"/>
        </w:numPr>
        <w:suppressAutoHyphens/>
        <w:jc w:val="both"/>
        <w:rPr>
          <w:bCs/>
          <w:lang w:val="en-GB"/>
        </w:rPr>
      </w:pPr>
      <w:bookmarkStart w:id="9" w:name="_Ref361738126"/>
      <w:r w:rsidRPr="00436976">
        <w:rPr>
          <w:lang w:val="en-GB"/>
        </w:rPr>
        <w:t>In 1999, the UNMIK MPU opened a missing person file with respect to</w:t>
      </w:r>
      <w:r w:rsidR="00DC1BF8" w:rsidRPr="00436976">
        <w:rPr>
          <w:lang w:val="en-GB"/>
        </w:rPr>
        <w:t xml:space="preserve"> the abductions </w:t>
      </w:r>
      <w:proofErr w:type="gramStart"/>
      <w:r w:rsidR="00DC1BF8" w:rsidRPr="00436976">
        <w:rPr>
          <w:lang w:val="en-GB"/>
        </w:rPr>
        <w:t>of</w:t>
      </w:r>
      <w:r w:rsidR="00352C9E" w:rsidRPr="00436976">
        <w:rPr>
          <w:lang w:val="en-GB"/>
        </w:rPr>
        <w:t xml:space="preserve"> </w:t>
      </w:r>
      <w:r w:rsidRPr="00436976">
        <w:rPr>
          <w:lang w:val="en-GB"/>
        </w:rPr>
        <w:t xml:space="preserve"> </w:t>
      </w:r>
      <w:r w:rsidR="00DC1BF8" w:rsidRPr="00436976">
        <w:rPr>
          <w:lang w:val="en-GB"/>
        </w:rPr>
        <w:t>Mr</w:t>
      </w:r>
      <w:proofErr w:type="gramEnd"/>
      <w:r w:rsidR="00DC1BF8" w:rsidRPr="00436976">
        <w:rPr>
          <w:lang w:val="en-GB"/>
        </w:rPr>
        <w:t xml:space="preserve"> Ivan Majstorović and Mr Dragan Stevanović (case file no. 1999-010035</w:t>
      </w:r>
      <w:r w:rsidRPr="00436976">
        <w:rPr>
          <w:lang w:val="en-GB"/>
        </w:rPr>
        <w:t>).</w:t>
      </w:r>
      <w:bookmarkStart w:id="10" w:name="_Ref358376223"/>
      <w:bookmarkEnd w:id="9"/>
      <w:r w:rsidR="00DC1BF8" w:rsidRPr="00436976">
        <w:rPr>
          <w:bCs/>
          <w:lang w:val="en-GB"/>
        </w:rPr>
        <w:t xml:space="preserve"> </w:t>
      </w:r>
      <w:r w:rsidR="00F3555A" w:rsidRPr="00436976">
        <w:rPr>
          <w:lang w:val="en-GB"/>
        </w:rPr>
        <w:t xml:space="preserve">The </w:t>
      </w:r>
      <w:r w:rsidR="00F3555A" w:rsidRPr="00436976">
        <w:rPr>
          <w:bCs/>
          <w:lang w:val="en-GB"/>
        </w:rPr>
        <w:t>CCIU</w:t>
      </w:r>
      <w:r w:rsidR="00B72B2C" w:rsidRPr="00436976">
        <w:rPr>
          <w:bCs/>
          <w:lang w:val="en-GB"/>
        </w:rPr>
        <w:t xml:space="preserve"> apparently</w:t>
      </w:r>
      <w:r w:rsidR="00F3555A" w:rsidRPr="00436976">
        <w:rPr>
          <w:bCs/>
          <w:lang w:val="en-GB"/>
        </w:rPr>
        <w:t xml:space="preserve"> opened an investigation in </w:t>
      </w:r>
      <w:r w:rsidR="00DC1BF8" w:rsidRPr="00436976">
        <w:rPr>
          <w:bCs/>
          <w:lang w:val="en-GB"/>
        </w:rPr>
        <w:t>2000</w:t>
      </w:r>
      <w:r w:rsidRPr="00436976">
        <w:rPr>
          <w:bCs/>
          <w:lang w:val="en-GB"/>
        </w:rPr>
        <w:t xml:space="preserve"> </w:t>
      </w:r>
      <w:r w:rsidR="00DC1BF8" w:rsidRPr="00436976">
        <w:rPr>
          <w:lang w:val="en-GB"/>
        </w:rPr>
        <w:t>(case file no. 2000-0005</w:t>
      </w:r>
      <w:r w:rsidRPr="00436976">
        <w:rPr>
          <w:lang w:val="en-GB"/>
        </w:rPr>
        <w:t>0)</w:t>
      </w:r>
      <w:r w:rsidR="00F3555A" w:rsidRPr="00436976">
        <w:rPr>
          <w:bCs/>
          <w:lang w:val="en-GB"/>
        </w:rPr>
        <w:t>,</w:t>
      </w:r>
      <w:r w:rsidR="00B72B2C" w:rsidRPr="00436976">
        <w:rPr>
          <w:bCs/>
          <w:lang w:val="en-GB"/>
        </w:rPr>
        <w:t xml:space="preserve"> but no documents were provided from this time period. </w:t>
      </w:r>
      <w:r w:rsidR="00DC1BF8" w:rsidRPr="00436976">
        <w:rPr>
          <w:bCs/>
          <w:lang w:val="en-GB"/>
        </w:rPr>
        <w:t xml:space="preserve">On 20 November 2003, the CCIU made a decision to close the case following a determination that the case “did not meet the level of </w:t>
      </w:r>
      <w:proofErr w:type="gramStart"/>
      <w:r w:rsidR="00DC1BF8" w:rsidRPr="00436976">
        <w:rPr>
          <w:bCs/>
          <w:lang w:val="en-GB"/>
        </w:rPr>
        <w:t>either proof</w:t>
      </w:r>
      <w:proofErr w:type="gramEnd"/>
      <w:r w:rsidR="00DC1BF8" w:rsidRPr="00436976">
        <w:rPr>
          <w:bCs/>
          <w:lang w:val="en-GB"/>
        </w:rPr>
        <w:t xml:space="preserve">, evidence or suspect identification to remain open.” </w:t>
      </w:r>
      <w:r w:rsidR="00DC1BF8" w:rsidRPr="00436976">
        <w:rPr>
          <w:lang w:val="en-GB"/>
        </w:rPr>
        <w:t>On 23</w:t>
      </w:r>
      <w:r w:rsidR="00B72B2C" w:rsidRPr="00436976">
        <w:rPr>
          <w:lang w:val="en-GB"/>
        </w:rPr>
        <w:t xml:space="preserve"> October 2007, the case of </w:t>
      </w:r>
      <w:r w:rsidR="00DC1BF8" w:rsidRPr="00436976">
        <w:rPr>
          <w:lang w:val="en-GB"/>
        </w:rPr>
        <w:t>Mr Ivan Majstorović and Mr Dragan Stevanović</w:t>
      </w:r>
      <w:r w:rsidR="00B72B2C" w:rsidRPr="00436976">
        <w:rPr>
          <w:lang w:val="en-GB"/>
        </w:rPr>
        <w:t xml:space="preserve"> was reviewed by the WCIU Section of UNMIK </w:t>
      </w:r>
      <w:r w:rsidR="00B07819" w:rsidRPr="00436976">
        <w:rPr>
          <w:lang w:val="en-GB"/>
        </w:rPr>
        <w:t>Police and</w:t>
      </w:r>
      <w:r w:rsidR="00B72B2C" w:rsidRPr="00436976">
        <w:rPr>
          <w:lang w:val="en-GB"/>
        </w:rPr>
        <w:t xml:space="preserve"> a case analysis report was prepared. The investigator reviewing the case indicated that</w:t>
      </w:r>
      <w:r w:rsidR="00DC1BF8" w:rsidRPr="00436976">
        <w:rPr>
          <w:lang w:val="en-GB"/>
        </w:rPr>
        <w:t xml:space="preserve"> a new input was made for the case on 12 August 2005, but what activity was taken is not specified. The investigator recommended that the case remain closed because of a lack of evidence.</w:t>
      </w:r>
      <w:r w:rsidR="00B72B2C" w:rsidRPr="00436976">
        <w:rPr>
          <w:lang w:val="en-GB"/>
        </w:rPr>
        <w:t xml:space="preserve"> There is no evidence that any follow-up action was carried out by UNMIK Police following the case analysis report. </w:t>
      </w:r>
    </w:p>
    <w:p w:rsidR="00A93272" w:rsidRPr="00436976" w:rsidRDefault="00A93272" w:rsidP="00A93272">
      <w:pPr>
        <w:pStyle w:val="ListParagraph"/>
        <w:rPr>
          <w:lang w:val="en-GB"/>
        </w:rPr>
      </w:pPr>
    </w:p>
    <w:p w:rsidR="00A93272" w:rsidRPr="00436976" w:rsidRDefault="000A2DD5" w:rsidP="00E63CC3">
      <w:pPr>
        <w:numPr>
          <w:ilvl w:val="0"/>
          <w:numId w:val="2"/>
        </w:numPr>
        <w:jc w:val="both"/>
        <w:rPr>
          <w:lang w:val="en-GB"/>
        </w:rPr>
      </w:pPr>
      <w:r w:rsidRPr="00436976">
        <w:rPr>
          <w:lang w:val="en-GB"/>
        </w:rPr>
        <w:t>On 19 September 2011</w:t>
      </w:r>
      <w:r w:rsidR="00A93272" w:rsidRPr="00436976">
        <w:rPr>
          <w:lang w:val="en-GB"/>
        </w:rPr>
        <w:t xml:space="preserve"> the EULEX</w:t>
      </w:r>
      <w:r w:rsidRPr="00436976">
        <w:rPr>
          <w:lang w:val="en-GB"/>
        </w:rPr>
        <w:t xml:space="preserve"> War Crimes Investig</w:t>
      </w:r>
      <w:r w:rsidR="00E065DF" w:rsidRPr="00436976">
        <w:rPr>
          <w:lang w:val="en-GB"/>
        </w:rPr>
        <w:t>ation Unit produced a case analy</w:t>
      </w:r>
      <w:r w:rsidRPr="00436976">
        <w:rPr>
          <w:lang w:val="en-GB"/>
        </w:rPr>
        <w:t>sis report which specifies that “since the case lies outside of the war crimes timeframe it was handed over to the Gjilan District Public Prosecution on 11 May 2011.”</w:t>
      </w:r>
    </w:p>
    <w:bookmarkEnd w:id="10"/>
    <w:p w:rsidR="00F3555A" w:rsidRPr="00436976" w:rsidRDefault="00F3555A" w:rsidP="00A93272">
      <w:pPr>
        <w:rPr>
          <w:lang w:val="en-GB"/>
        </w:rPr>
      </w:pPr>
    </w:p>
    <w:p w:rsidR="00F3555A" w:rsidRPr="00436976" w:rsidRDefault="00F3555A" w:rsidP="00F3555A">
      <w:pPr>
        <w:widowControl w:val="0"/>
        <w:tabs>
          <w:tab w:val="left" w:pos="360"/>
          <w:tab w:val="left" w:pos="1080"/>
        </w:tabs>
        <w:suppressAutoHyphens/>
        <w:ind w:left="360"/>
        <w:jc w:val="both"/>
        <w:rPr>
          <w:lang w:val="en-GB"/>
        </w:rPr>
      </w:pPr>
    </w:p>
    <w:p w:rsidR="00F3555A" w:rsidRPr="00436976" w:rsidRDefault="00F3555A" w:rsidP="00E63CC3">
      <w:pPr>
        <w:numPr>
          <w:ilvl w:val="0"/>
          <w:numId w:val="1"/>
        </w:numPr>
        <w:tabs>
          <w:tab w:val="left" w:pos="360"/>
        </w:tabs>
        <w:suppressAutoHyphens/>
        <w:autoSpaceDE w:val="0"/>
        <w:jc w:val="both"/>
        <w:rPr>
          <w:b/>
          <w:bCs/>
          <w:lang w:val="en-GB"/>
        </w:rPr>
      </w:pPr>
      <w:r w:rsidRPr="00436976">
        <w:rPr>
          <w:b/>
          <w:bCs/>
          <w:lang w:val="en-GB"/>
        </w:rPr>
        <w:t>THE COMPLAINT</w:t>
      </w:r>
    </w:p>
    <w:p w:rsidR="00F3555A" w:rsidRPr="00436976" w:rsidRDefault="00F3555A" w:rsidP="00F3555A">
      <w:pPr>
        <w:pStyle w:val="ListParagraph"/>
        <w:tabs>
          <w:tab w:val="left" w:pos="360"/>
        </w:tabs>
        <w:ind w:left="360" w:hanging="360"/>
        <w:rPr>
          <w:lang w:val="en-GB"/>
        </w:rPr>
      </w:pPr>
    </w:p>
    <w:p w:rsidR="00F3555A" w:rsidRPr="00436976" w:rsidRDefault="00F3555A" w:rsidP="00E63CC3">
      <w:pPr>
        <w:widowControl w:val="0"/>
        <w:numPr>
          <w:ilvl w:val="0"/>
          <w:numId w:val="2"/>
        </w:numPr>
        <w:tabs>
          <w:tab w:val="left" w:pos="360"/>
          <w:tab w:val="left" w:pos="1080"/>
        </w:tabs>
        <w:suppressAutoHyphens/>
        <w:jc w:val="both"/>
        <w:rPr>
          <w:lang w:val="en-GB"/>
        </w:rPr>
      </w:pPr>
      <w:bookmarkStart w:id="11" w:name="_Ref341712435"/>
      <w:r w:rsidRPr="00436976">
        <w:rPr>
          <w:lang w:val="en-GB"/>
        </w:rPr>
        <w:t xml:space="preserve">The complainants complain about UNMIK’s alleged failure to properly investigate the abduction of their </w:t>
      </w:r>
      <w:r w:rsidR="000A2DD5" w:rsidRPr="00436976">
        <w:rPr>
          <w:lang w:val="en-GB"/>
        </w:rPr>
        <w:t xml:space="preserve">son and </w:t>
      </w:r>
      <w:r w:rsidR="00C0330C" w:rsidRPr="00436976">
        <w:rPr>
          <w:lang w:val="en-GB"/>
        </w:rPr>
        <w:t>husband</w:t>
      </w:r>
      <w:r w:rsidR="000A2DD5" w:rsidRPr="00436976">
        <w:rPr>
          <w:lang w:val="en-GB"/>
        </w:rPr>
        <w:t>, respectively</w:t>
      </w:r>
      <w:r w:rsidR="00C0330C" w:rsidRPr="00436976">
        <w:rPr>
          <w:lang w:val="en-GB"/>
        </w:rPr>
        <w:t xml:space="preserve">. </w:t>
      </w:r>
      <w:r w:rsidRPr="00436976">
        <w:rPr>
          <w:lang w:val="en-GB"/>
        </w:rPr>
        <w:t>In this regard, the Panel deems that they invoke a violation of the procedural limb of Article 2 of the European Convention on Human Rights (ECHR).</w:t>
      </w:r>
    </w:p>
    <w:p w:rsidR="00C0330C" w:rsidRPr="00436976" w:rsidRDefault="00C0330C" w:rsidP="00C0330C">
      <w:pPr>
        <w:widowControl w:val="0"/>
        <w:tabs>
          <w:tab w:val="left" w:pos="1080"/>
        </w:tabs>
        <w:suppressAutoHyphens/>
        <w:ind w:left="360"/>
        <w:jc w:val="both"/>
        <w:rPr>
          <w:lang w:val="en-GB"/>
        </w:rPr>
      </w:pPr>
    </w:p>
    <w:p w:rsidR="00C0330C" w:rsidRPr="00436976" w:rsidRDefault="00C0330C" w:rsidP="00E63CC3">
      <w:pPr>
        <w:pStyle w:val="ListParagraph"/>
        <w:numPr>
          <w:ilvl w:val="0"/>
          <w:numId w:val="2"/>
        </w:numPr>
        <w:suppressAutoHyphens w:val="0"/>
        <w:contextualSpacing/>
        <w:jc w:val="both"/>
        <w:rPr>
          <w:lang w:val="en-GB"/>
        </w:rPr>
      </w:pPr>
      <w:r w:rsidRPr="00436976">
        <w:rPr>
          <w:lang w:val="en-GB"/>
        </w:rPr>
        <w:t>They also complain about the mental pain and suffering allegedly caused to themselves and their families by this situation. In this regard the Panel deems that the complainants rely on Article 3 of the ECHR.</w:t>
      </w:r>
    </w:p>
    <w:p w:rsidR="00F3555A" w:rsidRPr="00436976" w:rsidRDefault="00F3555A" w:rsidP="00F3555A">
      <w:pPr>
        <w:widowControl w:val="0"/>
        <w:tabs>
          <w:tab w:val="left" w:pos="360"/>
          <w:tab w:val="left" w:pos="1080"/>
        </w:tabs>
        <w:suppressAutoHyphens/>
        <w:ind w:left="360" w:hanging="360"/>
        <w:jc w:val="both"/>
        <w:rPr>
          <w:lang w:val="en-GB"/>
        </w:rPr>
      </w:pPr>
    </w:p>
    <w:bookmarkEnd w:id="11"/>
    <w:p w:rsidR="00F3555A" w:rsidRPr="00436976" w:rsidRDefault="00F3555A" w:rsidP="00F3555A">
      <w:pPr>
        <w:tabs>
          <w:tab w:val="left" w:pos="360"/>
        </w:tabs>
        <w:jc w:val="both"/>
        <w:rPr>
          <w:lang w:val="en-GB"/>
        </w:rPr>
      </w:pPr>
    </w:p>
    <w:p w:rsidR="00F3555A" w:rsidRPr="00436976" w:rsidRDefault="00F3555A" w:rsidP="00E63CC3">
      <w:pPr>
        <w:numPr>
          <w:ilvl w:val="0"/>
          <w:numId w:val="1"/>
        </w:numPr>
        <w:tabs>
          <w:tab w:val="left" w:pos="360"/>
        </w:tabs>
        <w:suppressAutoHyphens/>
        <w:autoSpaceDE w:val="0"/>
        <w:jc w:val="both"/>
        <w:rPr>
          <w:b/>
          <w:bCs/>
          <w:lang w:val="en-GB"/>
        </w:rPr>
      </w:pPr>
      <w:r w:rsidRPr="00436976">
        <w:rPr>
          <w:b/>
          <w:bCs/>
          <w:lang w:val="en-GB"/>
        </w:rPr>
        <w:t>THE LAW</w:t>
      </w:r>
    </w:p>
    <w:p w:rsidR="00F3555A" w:rsidRPr="00436976" w:rsidRDefault="00F3555A" w:rsidP="00F3555A">
      <w:pPr>
        <w:tabs>
          <w:tab w:val="left" w:pos="360"/>
        </w:tabs>
        <w:autoSpaceDE w:val="0"/>
        <w:ind w:left="360" w:hanging="360"/>
        <w:contextualSpacing/>
        <w:jc w:val="both"/>
        <w:rPr>
          <w:bCs/>
          <w:lang w:val="en-GB"/>
        </w:rPr>
      </w:pPr>
    </w:p>
    <w:p w:rsidR="00C0330C" w:rsidRPr="00436976" w:rsidRDefault="00C0330C" w:rsidP="00C0330C">
      <w:pPr>
        <w:contextualSpacing/>
        <w:jc w:val="both"/>
        <w:rPr>
          <w:b/>
          <w:lang w:val="en-GB"/>
        </w:rPr>
      </w:pPr>
      <w:r w:rsidRPr="00436976">
        <w:rPr>
          <w:b/>
          <w:lang w:val="en-GB"/>
        </w:rPr>
        <w:t>A.   Alleged violation of the procedural obligation under Article 2 of the ECHR</w:t>
      </w:r>
    </w:p>
    <w:p w:rsidR="00C0330C" w:rsidRPr="00436976" w:rsidRDefault="00C0330C" w:rsidP="00C0330C">
      <w:pPr>
        <w:contextualSpacing/>
        <w:jc w:val="both"/>
        <w:rPr>
          <w:b/>
          <w:lang w:val="en-GB"/>
        </w:rPr>
      </w:pPr>
    </w:p>
    <w:p w:rsidR="00C0330C" w:rsidRPr="00436976" w:rsidRDefault="00C0330C" w:rsidP="00E63CC3">
      <w:pPr>
        <w:pStyle w:val="ListParagraph"/>
        <w:numPr>
          <w:ilvl w:val="0"/>
          <w:numId w:val="2"/>
        </w:numPr>
        <w:suppressAutoHyphens w:val="0"/>
        <w:contextualSpacing/>
        <w:jc w:val="both"/>
        <w:rPr>
          <w:lang w:val="en-GB"/>
        </w:rPr>
      </w:pPr>
      <w:r w:rsidRPr="00436976">
        <w:rPr>
          <w:bCs/>
          <w:lang w:val="en-GB"/>
        </w:rPr>
        <w:t xml:space="preserve"> </w:t>
      </w:r>
      <w:r w:rsidRPr="00436976">
        <w:rPr>
          <w:lang w:val="en-GB"/>
        </w:rPr>
        <w:t>The Panel considers that the complainants invoke a violation of the procedural obligation stemming from the right to life, guaranteed by Article 2 of the ECHR in that UNMIK Police did not conduct an effective investigation into the abduction</w:t>
      </w:r>
      <w:r w:rsidR="00A14F39" w:rsidRPr="00436976">
        <w:rPr>
          <w:lang w:val="en-GB"/>
        </w:rPr>
        <w:t>s</w:t>
      </w:r>
      <w:r w:rsidRPr="00436976">
        <w:rPr>
          <w:lang w:val="en-GB"/>
        </w:rPr>
        <w:t xml:space="preserve"> of </w:t>
      </w:r>
      <w:r w:rsidR="000A2DD5" w:rsidRPr="00436976">
        <w:rPr>
          <w:lang w:val="en-GB"/>
        </w:rPr>
        <w:t>their son and husband</w:t>
      </w:r>
      <w:r w:rsidRPr="00436976">
        <w:rPr>
          <w:lang w:val="en-GB"/>
        </w:rPr>
        <w:t xml:space="preserve">. </w:t>
      </w:r>
    </w:p>
    <w:p w:rsidR="003F2396" w:rsidRPr="00436976" w:rsidRDefault="003F2396" w:rsidP="00C0330C">
      <w:pPr>
        <w:pStyle w:val="ListParagraph"/>
        <w:suppressAutoHyphens w:val="0"/>
        <w:ind w:left="360"/>
        <w:contextualSpacing/>
        <w:jc w:val="both"/>
        <w:rPr>
          <w:lang w:val="en-GB"/>
        </w:rPr>
      </w:pPr>
    </w:p>
    <w:p w:rsidR="00C0330C" w:rsidRPr="00436976" w:rsidRDefault="00C0330C" w:rsidP="00E63CC3">
      <w:pPr>
        <w:pStyle w:val="MediumGrid1-Accent21"/>
        <w:numPr>
          <w:ilvl w:val="0"/>
          <w:numId w:val="7"/>
        </w:numPr>
        <w:suppressAutoHyphens w:val="0"/>
        <w:contextualSpacing/>
        <w:rPr>
          <w:b/>
          <w:bCs/>
          <w:lang w:val="en-GB"/>
        </w:rPr>
      </w:pPr>
      <w:r w:rsidRPr="00436976">
        <w:rPr>
          <w:b/>
          <w:bCs/>
          <w:lang w:val="en-GB"/>
        </w:rPr>
        <w:t>The scope of the Panel’s review</w:t>
      </w:r>
    </w:p>
    <w:p w:rsidR="00C0330C" w:rsidRPr="00436976" w:rsidRDefault="00C0330C" w:rsidP="00C0330C">
      <w:pPr>
        <w:pStyle w:val="MediumGrid1-Accent21"/>
        <w:suppressAutoHyphens w:val="0"/>
        <w:ind w:left="360"/>
        <w:contextualSpacing/>
        <w:rPr>
          <w:b/>
          <w:bCs/>
          <w:lang w:val="en-GB"/>
        </w:rPr>
      </w:pPr>
    </w:p>
    <w:p w:rsidR="00C71126" w:rsidRPr="00436976" w:rsidRDefault="00C71126" w:rsidP="00C71126">
      <w:pPr>
        <w:numPr>
          <w:ilvl w:val="0"/>
          <w:numId w:val="2"/>
        </w:numPr>
        <w:tabs>
          <w:tab w:val="left" w:pos="360"/>
          <w:tab w:val="num" w:pos="630"/>
        </w:tabs>
        <w:suppressAutoHyphens/>
        <w:autoSpaceDE w:val="0"/>
        <w:jc w:val="both"/>
        <w:rPr>
          <w:bCs/>
          <w:lang w:val="en-GB"/>
        </w:rPr>
      </w:pPr>
      <w:r w:rsidRPr="00436976">
        <w:rPr>
          <w:bCs/>
          <w:lang w:val="en-GB"/>
        </w:rPr>
        <w:t>Before turning to the examination of the merits of the complaint, the Panel needs to clarify the scope of its review.</w:t>
      </w:r>
    </w:p>
    <w:p w:rsidR="00C71126" w:rsidRPr="00436976" w:rsidRDefault="00C71126" w:rsidP="00C71126">
      <w:pPr>
        <w:suppressAutoHyphens/>
        <w:autoSpaceDE w:val="0"/>
        <w:ind w:left="360"/>
        <w:jc w:val="both"/>
        <w:rPr>
          <w:lang w:val="en-GB"/>
        </w:rPr>
      </w:pPr>
    </w:p>
    <w:p w:rsidR="00F3555A" w:rsidRPr="00436976" w:rsidRDefault="00F3555A" w:rsidP="00E63CC3">
      <w:pPr>
        <w:numPr>
          <w:ilvl w:val="0"/>
          <w:numId w:val="2"/>
        </w:numPr>
        <w:tabs>
          <w:tab w:val="left" w:pos="360"/>
        </w:tabs>
        <w:suppressAutoHyphens/>
        <w:autoSpaceDE w:val="0"/>
        <w:jc w:val="both"/>
        <w:rPr>
          <w:lang w:val="en-GB"/>
        </w:rPr>
      </w:pPr>
      <w:r w:rsidRPr="00436976">
        <w:rPr>
          <w:bCs/>
          <w:lang w:val="en-GB"/>
        </w:rPr>
        <w:t xml:space="preserve">In determining whether it considers that there has been a violation of Article 2 (procedural limb) of the ECHR, the Panel </w:t>
      </w:r>
      <w:r w:rsidRPr="00436976">
        <w:rPr>
          <w:lang w:val="en-GB"/>
        </w:rPr>
        <w:t xml:space="preserve"> 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 </w:t>
      </w:r>
    </w:p>
    <w:p w:rsidR="00F3555A" w:rsidRPr="00436976" w:rsidRDefault="00F3555A" w:rsidP="00C71126">
      <w:pPr>
        <w:tabs>
          <w:tab w:val="left" w:pos="360"/>
        </w:tabs>
        <w:autoSpaceDE w:val="0"/>
        <w:jc w:val="both"/>
        <w:rPr>
          <w:bCs/>
          <w:lang w:val="en-GB"/>
        </w:rPr>
      </w:pPr>
    </w:p>
    <w:p w:rsidR="00F3555A" w:rsidRPr="00436976" w:rsidRDefault="00F3555A" w:rsidP="00E63CC3">
      <w:pPr>
        <w:numPr>
          <w:ilvl w:val="0"/>
          <w:numId w:val="2"/>
        </w:numPr>
        <w:tabs>
          <w:tab w:val="left" w:pos="360"/>
          <w:tab w:val="num" w:pos="630"/>
        </w:tabs>
        <w:suppressAutoHyphens/>
        <w:autoSpaceDE w:val="0"/>
        <w:jc w:val="both"/>
        <w:rPr>
          <w:lang w:val="en-GB"/>
        </w:rPr>
      </w:pPr>
      <w:bookmarkStart w:id="12" w:name="_Ref363158537"/>
      <w:r w:rsidRPr="00436976">
        <w:rPr>
          <w:color w:val="000000"/>
          <w:lang w:val="en-GB" w:eastAsia="nl-BE"/>
        </w:rPr>
        <w:t xml:space="preserve">The </w:t>
      </w:r>
      <w:r w:rsidRPr="00436976">
        <w:rPr>
          <w:bCs/>
          <w:lang w:val="en-GB"/>
        </w:rPr>
        <w:t>Panel</w:t>
      </w:r>
      <w:r w:rsidRPr="00436976">
        <w:rPr>
          <w:color w:val="000000"/>
          <w:lang w:val="en-GB" w:eastAsia="nl-BE"/>
        </w:rPr>
        <w:t xml:space="preserve"> notes that with the adoption of the UNMIK Regulation No. 1999/1 on 25 July 1999 UNMIK undertook an obligation to observe internationally recognised human </w:t>
      </w:r>
      <w:r w:rsidRPr="00436976">
        <w:rPr>
          <w:bCs/>
          <w:lang w:val="en-GB"/>
        </w:rPr>
        <w:t>rights</w:t>
      </w:r>
      <w:r w:rsidRPr="00436976">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436976">
        <w:rPr>
          <w:lang w:val="en-GB"/>
        </w:rPr>
        <w:t>: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the Convention Against Torture and Other Cruel, Inhuman or Degrading Treatment or Punishment</w:t>
      </w:r>
      <w:r w:rsidRPr="00436976">
        <w:rPr>
          <w:u w:val="single"/>
          <w:lang w:val="en-GB"/>
        </w:rPr>
        <w:t>,</w:t>
      </w:r>
      <w:r w:rsidRPr="00436976">
        <w:rPr>
          <w:lang w:val="en-GB"/>
        </w:rPr>
        <w:t xml:space="preserve"> the Convention on the Rights of the Child.</w:t>
      </w:r>
      <w:bookmarkEnd w:id="12"/>
    </w:p>
    <w:p w:rsidR="00F3555A" w:rsidRPr="00436976" w:rsidRDefault="00F3555A" w:rsidP="00F3555A">
      <w:pPr>
        <w:tabs>
          <w:tab w:val="left" w:pos="360"/>
        </w:tabs>
        <w:suppressAutoHyphens/>
        <w:autoSpaceDE w:val="0"/>
        <w:ind w:left="360" w:hanging="360"/>
        <w:jc w:val="both"/>
        <w:rPr>
          <w:lang w:val="en-GB"/>
        </w:rPr>
      </w:pPr>
    </w:p>
    <w:p w:rsidR="00F3555A" w:rsidRPr="00436976" w:rsidRDefault="00F3555A" w:rsidP="00E63CC3">
      <w:pPr>
        <w:numPr>
          <w:ilvl w:val="0"/>
          <w:numId w:val="2"/>
        </w:numPr>
        <w:tabs>
          <w:tab w:val="left" w:pos="360"/>
          <w:tab w:val="num" w:pos="630"/>
        </w:tabs>
        <w:suppressAutoHyphens/>
        <w:autoSpaceDE w:val="0"/>
        <w:jc w:val="both"/>
        <w:rPr>
          <w:lang w:val="en-GB"/>
        </w:rPr>
      </w:pPr>
      <w:r w:rsidRPr="00436976">
        <w:rPr>
          <w:rFonts w:cs="CAGLHH+TimesNewRoman"/>
          <w:color w:val="000000"/>
          <w:lang w:val="en-GB"/>
        </w:rPr>
        <w:t xml:space="preserve">The Panel also notes that Section 1.2 of </w:t>
      </w:r>
      <w:r w:rsidRPr="00436976">
        <w:rPr>
          <w:bCs/>
          <w:lang w:val="en-GB"/>
        </w:rPr>
        <w:t xml:space="preserve">UNMIK Regulation No. 2006/12 of 23 March 2006 on the Establishment of the Human Rights Advisory Panel </w:t>
      </w:r>
      <w:r w:rsidRPr="00436976">
        <w:rPr>
          <w:rFonts w:cs="CAGLHH+TimesNewRoman"/>
          <w:color w:val="000000"/>
          <w:lang w:val="en-GB"/>
        </w:rPr>
        <w:t xml:space="preserve">provides that the Panel “shall examine complaints from any person or group of individuals claiming to be the victim of a violation by UNMIK of (their) human rights”. It </w:t>
      </w:r>
      <w:r w:rsidRPr="00436976">
        <w:rPr>
          <w:bCs/>
          <w:lang w:val="en-GB"/>
        </w:rPr>
        <w:t>follows</w:t>
      </w:r>
      <w:r w:rsidRPr="00436976">
        <w:rPr>
          <w:rFonts w:cs="CAGLHH+TimesNewRoman"/>
          <w:color w:val="000000"/>
          <w:lang w:val="en-GB"/>
        </w:rPr>
        <w:t xml:space="preserve"> that only acts or omissions attributable to UNMIK fall within the jurisdiction </w:t>
      </w:r>
      <w:r w:rsidRPr="00436976">
        <w:rPr>
          <w:rFonts w:cs="CAGLHH+TimesNewRoman"/>
          <w:i/>
          <w:color w:val="000000"/>
          <w:lang w:val="en-GB"/>
        </w:rPr>
        <w:t>ratione personae</w:t>
      </w:r>
      <w:r w:rsidRPr="00436976">
        <w:rPr>
          <w:rFonts w:cs="CAGLHH+TimesNewRoman"/>
          <w:color w:val="000000"/>
          <w:lang w:val="en-GB"/>
        </w:rPr>
        <w:t xml:space="preserve"> of the Panel. In this respect, it should be noted, as stated above, that as of </w:t>
      </w:r>
      <w:r w:rsidRPr="00436976">
        <w:rPr>
          <w:lang w:val="en-GB"/>
        </w:rPr>
        <w:t xml:space="preserve">9 December 2008, UNMIK </w:t>
      </w:r>
      <w:r w:rsidRPr="00436976">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r w:rsidRPr="00436976">
        <w:rPr>
          <w:bCs/>
          <w:i/>
          <w:lang w:val="en-GB"/>
        </w:rPr>
        <w:t>ratione personae</w:t>
      </w:r>
      <w:r w:rsidRPr="00436976">
        <w:rPr>
          <w:bCs/>
          <w:lang w:val="en-GB"/>
        </w:rPr>
        <w:t xml:space="preserve"> of the Panel.</w:t>
      </w:r>
    </w:p>
    <w:p w:rsidR="00F3555A" w:rsidRPr="00436976" w:rsidRDefault="00F3555A" w:rsidP="00F3555A">
      <w:pPr>
        <w:pStyle w:val="ListParagraph"/>
        <w:tabs>
          <w:tab w:val="left" w:pos="360"/>
        </w:tabs>
        <w:ind w:left="360" w:hanging="360"/>
        <w:rPr>
          <w:lang w:val="en-GB"/>
        </w:rPr>
      </w:pPr>
    </w:p>
    <w:p w:rsidR="00F3555A" w:rsidRPr="00436976" w:rsidRDefault="00F3555A" w:rsidP="00E63CC3">
      <w:pPr>
        <w:numPr>
          <w:ilvl w:val="0"/>
          <w:numId w:val="2"/>
        </w:numPr>
        <w:tabs>
          <w:tab w:val="left" w:pos="360"/>
          <w:tab w:val="num" w:pos="630"/>
        </w:tabs>
        <w:suppressAutoHyphens/>
        <w:autoSpaceDE w:val="0"/>
        <w:jc w:val="both"/>
        <w:rPr>
          <w:bCs/>
          <w:lang w:val="en-GB"/>
        </w:rPr>
      </w:pPr>
      <w:bookmarkStart w:id="13" w:name="_Ref353794065"/>
      <w:r w:rsidRPr="00436976">
        <w:rPr>
          <w:rFonts w:cs="CAGLHH+TimesNewRoman"/>
          <w:color w:val="000000"/>
          <w:lang w:val="en-GB"/>
        </w:rPr>
        <w:t xml:space="preserve">Likewise, the Panel emphasises that, as far as its jurisdiction </w:t>
      </w:r>
      <w:r w:rsidRPr="00436976">
        <w:rPr>
          <w:rFonts w:cs="CAGLHH+TimesNewRoman"/>
          <w:i/>
          <w:color w:val="000000"/>
          <w:lang w:val="en-GB"/>
        </w:rPr>
        <w:t>ratione materiae</w:t>
      </w:r>
      <w:r w:rsidRPr="00436976">
        <w:rPr>
          <w:rFonts w:cs="CAGLHH+TimesNewRoman"/>
          <w:color w:val="000000"/>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3F2396" w:rsidRPr="00436976">
        <w:rPr>
          <w:lang w:val="en-GB"/>
        </w:rPr>
        <w:fldChar w:fldCharType="begin"/>
      </w:r>
      <w:r w:rsidR="003F2396" w:rsidRPr="00436976">
        <w:rPr>
          <w:rFonts w:cs="CAGLHH+TimesNewRoman"/>
          <w:color w:val="000000"/>
          <w:lang w:val="en-GB"/>
        </w:rPr>
        <w:instrText xml:space="preserve"> REF _Ref363158537 \r \h </w:instrText>
      </w:r>
      <w:r w:rsidR="003F2396" w:rsidRPr="00436976">
        <w:rPr>
          <w:lang w:val="en-GB"/>
        </w:rPr>
      </w:r>
      <w:r w:rsidR="003F2396" w:rsidRPr="00436976">
        <w:rPr>
          <w:lang w:val="en-GB"/>
        </w:rPr>
        <w:fldChar w:fldCharType="separate"/>
      </w:r>
      <w:r w:rsidR="003F2396" w:rsidRPr="00436976">
        <w:rPr>
          <w:rFonts w:cs="CAGLHH+TimesNewRoman"/>
          <w:color w:val="000000"/>
          <w:lang w:val="en-GB"/>
        </w:rPr>
        <w:t>36</w:t>
      </w:r>
      <w:r w:rsidR="003F2396" w:rsidRPr="00436976">
        <w:rPr>
          <w:lang w:val="en-GB"/>
        </w:rPr>
        <w:fldChar w:fldCharType="end"/>
      </w:r>
      <w:r w:rsidRPr="00436976">
        <w:rPr>
          <w:rFonts w:cs="CAGLHH+TimesNewRoman"/>
          <w:color w:val="000000"/>
          <w:lang w:val="en-GB"/>
        </w:rPr>
        <w:t>).</w:t>
      </w:r>
      <w:r w:rsidRPr="00436976">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13"/>
    </w:p>
    <w:p w:rsidR="00F3555A" w:rsidRPr="00436976" w:rsidRDefault="00F3555A" w:rsidP="00F3555A">
      <w:pPr>
        <w:pStyle w:val="ListParagraph"/>
        <w:tabs>
          <w:tab w:val="left" w:pos="360"/>
        </w:tabs>
        <w:ind w:left="360" w:hanging="360"/>
        <w:rPr>
          <w:bCs/>
          <w:lang w:val="en-GB"/>
        </w:rPr>
      </w:pPr>
    </w:p>
    <w:p w:rsidR="00F3555A" w:rsidRPr="00436976" w:rsidRDefault="00F3555A" w:rsidP="00E63CC3">
      <w:pPr>
        <w:numPr>
          <w:ilvl w:val="0"/>
          <w:numId w:val="2"/>
        </w:numPr>
        <w:tabs>
          <w:tab w:val="left" w:pos="360"/>
          <w:tab w:val="left" w:pos="630"/>
          <w:tab w:val="left" w:pos="2790"/>
        </w:tabs>
        <w:suppressAutoHyphens/>
        <w:autoSpaceDE w:val="0"/>
        <w:jc w:val="both"/>
        <w:rPr>
          <w:bCs/>
          <w:lang w:val="en-GB"/>
        </w:rPr>
      </w:pPr>
      <w:bookmarkStart w:id="14" w:name="_Ref361740164"/>
      <w:r w:rsidRPr="00436976">
        <w:rPr>
          <w:bCs/>
          <w:lang w:val="en-GB"/>
        </w:rPr>
        <w:t>The Panel f</w:t>
      </w:r>
      <w:r w:rsidR="00C71126" w:rsidRPr="00436976">
        <w:rPr>
          <w:bCs/>
          <w:lang w:val="en-GB"/>
        </w:rPr>
        <w:t>inally</w:t>
      </w:r>
      <w:r w:rsidRPr="00436976">
        <w:rPr>
          <w:bCs/>
          <w:lang w:val="en-GB"/>
        </w:rPr>
        <w:t xml:space="preserve"> notes that Section 2 of UNMIK Regulation No. 2006/12 provides that t</w:t>
      </w:r>
      <w:r w:rsidRPr="00436976">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436976">
        <w:rPr>
          <w:rFonts w:cs="CAGLHH+TimesNewRoman"/>
          <w:i/>
          <w:color w:val="000000"/>
          <w:lang w:val="en-GB"/>
        </w:rPr>
        <w:t>ratione temporis</w:t>
      </w:r>
      <w:r w:rsidRPr="00436976">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w:t>
      </w:r>
      <w:r w:rsidR="000A1CAA" w:rsidRPr="00436976">
        <w:rPr>
          <w:rFonts w:cs="CAGLHH+TimesNewRoman"/>
          <w:color w:val="000000"/>
          <w:lang w:val="en-GB"/>
        </w:rPr>
        <w:t xml:space="preserve"> [GC]</w:t>
      </w:r>
      <w:r w:rsidRPr="00436976">
        <w:rPr>
          <w:rFonts w:cs="CAGLHH+TimesNewRoman"/>
          <w:color w:val="000000"/>
          <w:lang w:val="en-GB"/>
        </w:rPr>
        <w:t xml:space="preserve">, </w:t>
      </w:r>
      <w:r w:rsidRPr="00436976">
        <w:rPr>
          <w:rFonts w:cs="CAGLHH+TimesNewRoman"/>
          <w:i/>
          <w:color w:val="000000"/>
          <w:lang w:val="en-GB"/>
        </w:rPr>
        <w:t>Varnava and Others v. Turkey</w:t>
      </w:r>
      <w:r w:rsidRPr="00436976">
        <w:rPr>
          <w:rFonts w:cs="CAGLHH+TimesNewRoman"/>
          <w:color w:val="000000"/>
          <w:lang w:val="en-GB"/>
        </w:rPr>
        <w:t xml:space="preserve">, nos. 16064/90 and others, judgment of 18 September 2009, §§ 147-149; ECtHR, </w:t>
      </w:r>
      <w:r w:rsidRPr="00436976">
        <w:rPr>
          <w:rFonts w:cs="CAGLHH+TimesNewRoman"/>
          <w:i/>
          <w:color w:val="000000"/>
          <w:lang w:val="en-GB"/>
        </w:rPr>
        <w:t xml:space="preserve">Cyprus v. Turkey </w:t>
      </w:r>
      <w:r w:rsidRPr="00436976">
        <w:rPr>
          <w:rFonts w:cs="CAGLHH+TimesNewRoman"/>
          <w:color w:val="000000"/>
          <w:lang w:val="en-GB"/>
        </w:rPr>
        <w:t xml:space="preserve">[GC] no. </w:t>
      </w:r>
      <w:r w:rsidRPr="00436976">
        <w:rPr>
          <w:rStyle w:val="s85f22697"/>
          <w:lang w:val="en-GB"/>
        </w:rPr>
        <w:t>25781/94, judgment of 10 May 2011,</w:t>
      </w:r>
      <w:r w:rsidRPr="00436976">
        <w:rPr>
          <w:rFonts w:cs="CAGLHH+TimesNewRoman"/>
          <w:color w:val="000000"/>
          <w:lang w:val="en-GB"/>
        </w:rPr>
        <w:t xml:space="preserve"> § 136, ECHR 2001-IV).</w:t>
      </w:r>
      <w:bookmarkEnd w:id="14"/>
      <w:r w:rsidRPr="00436976">
        <w:rPr>
          <w:rFonts w:cs="CAGLHH+TimesNewRoman"/>
          <w:color w:val="000000"/>
          <w:lang w:val="en-GB"/>
        </w:rPr>
        <w:t xml:space="preserve"> </w:t>
      </w:r>
    </w:p>
    <w:p w:rsidR="00F3555A" w:rsidRPr="00436976" w:rsidRDefault="00F3555A" w:rsidP="00C0330C">
      <w:pPr>
        <w:tabs>
          <w:tab w:val="left" w:pos="360"/>
        </w:tabs>
        <w:suppressAutoHyphens/>
        <w:autoSpaceDE w:val="0"/>
        <w:jc w:val="both"/>
        <w:rPr>
          <w:b/>
          <w:bCs/>
          <w:lang w:val="en-GB"/>
        </w:rPr>
      </w:pPr>
    </w:p>
    <w:p w:rsidR="00F3555A" w:rsidRPr="00436976" w:rsidRDefault="00F3555A" w:rsidP="00E63CC3">
      <w:pPr>
        <w:pStyle w:val="ListParagraph"/>
        <w:numPr>
          <w:ilvl w:val="0"/>
          <w:numId w:val="7"/>
        </w:numPr>
        <w:tabs>
          <w:tab w:val="left" w:pos="360"/>
        </w:tabs>
        <w:autoSpaceDE w:val="0"/>
        <w:jc w:val="both"/>
        <w:rPr>
          <w:b/>
          <w:bCs/>
          <w:lang w:val="en-GB"/>
        </w:rPr>
      </w:pPr>
      <w:r w:rsidRPr="00436976">
        <w:rPr>
          <w:b/>
          <w:color w:val="000000"/>
          <w:lang w:val="en-GB"/>
        </w:rPr>
        <w:t>T</w:t>
      </w:r>
      <w:r w:rsidRPr="00436976">
        <w:rPr>
          <w:b/>
          <w:bCs/>
          <w:lang w:val="en-GB"/>
        </w:rPr>
        <w:t>he Parties’ submissions</w:t>
      </w:r>
    </w:p>
    <w:p w:rsidR="00F3555A" w:rsidRPr="00436976" w:rsidRDefault="00F3555A" w:rsidP="00F3555A">
      <w:pPr>
        <w:tabs>
          <w:tab w:val="left" w:pos="360"/>
        </w:tabs>
        <w:suppressAutoHyphens/>
        <w:autoSpaceDE w:val="0"/>
        <w:ind w:left="360" w:hanging="360"/>
        <w:jc w:val="both"/>
        <w:rPr>
          <w:bCs/>
          <w:lang w:val="en-GB"/>
        </w:rPr>
      </w:pPr>
    </w:p>
    <w:p w:rsidR="00F3555A" w:rsidRPr="00436976" w:rsidRDefault="00F3555A" w:rsidP="00E63CC3">
      <w:pPr>
        <w:numPr>
          <w:ilvl w:val="0"/>
          <w:numId w:val="2"/>
        </w:numPr>
        <w:tabs>
          <w:tab w:val="left" w:pos="360"/>
          <w:tab w:val="num" w:pos="630"/>
        </w:tabs>
        <w:suppressAutoHyphens/>
        <w:autoSpaceDE w:val="0"/>
        <w:jc w:val="both"/>
        <w:rPr>
          <w:bCs/>
          <w:lang w:val="en-GB"/>
        </w:rPr>
      </w:pPr>
      <w:r w:rsidRPr="00436976">
        <w:rPr>
          <w:lang w:val="en-GB"/>
        </w:rPr>
        <w:t xml:space="preserve">The Panel deems that the </w:t>
      </w:r>
      <w:r w:rsidRPr="00436976">
        <w:rPr>
          <w:bCs/>
          <w:lang w:val="en-GB"/>
        </w:rPr>
        <w:t>complainants</w:t>
      </w:r>
      <w:r w:rsidRPr="00436976">
        <w:rPr>
          <w:lang w:val="en-GB"/>
        </w:rPr>
        <w:t xml:space="preserve"> allege a violation of Article 2 of the ECHR through the lack of an adequate criminal investigation into the abduction</w:t>
      </w:r>
      <w:r w:rsidR="00D90D26" w:rsidRPr="00436976">
        <w:rPr>
          <w:lang w:val="en-GB"/>
        </w:rPr>
        <w:t>s of</w:t>
      </w:r>
      <w:r w:rsidRPr="00436976">
        <w:rPr>
          <w:lang w:val="en-GB"/>
        </w:rPr>
        <w:t xml:space="preserve"> </w:t>
      </w:r>
      <w:r w:rsidR="000A2DD5" w:rsidRPr="00436976">
        <w:rPr>
          <w:lang w:val="en-GB"/>
        </w:rPr>
        <w:t>their son and husband</w:t>
      </w:r>
      <w:r w:rsidR="00C0330C" w:rsidRPr="00436976">
        <w:rPr>
          <w:lang w:val="en-GB"/>
        </w:rPr>
        <w:t>.</w:t>
      </w:r>
      <w:r w:rsidRPr="00436976">
        <w:rPr>
          <w:lang w:val="en-GB"/>
        </w:rPr>
        <w:t xml:space="preserve"> </w:t>
      </w:r>
    </w:p>
    <w:p w:rsidR="00C0330C" w:rsidRPr="00436976" w:rsidRDefault="00C0330C" w:rsidP="00C0330C">
      <w:pPr>
        <w:tabs>
          <w:tab w:val="left" w:pos="360"/>
        </w:tabs>
        <w:suppressAutoHyphens/>
        <w:autoSpaceDE w:val="0"/>
        <w:ind w:left="360"/>
        <w:jc w:val="both"/>
        <w:rPr>
          <w:bCs/>
          <w:lang w:val="en-GB"/>
        </w:rPr>
      </w:pPr>
    </w:p>
    <w:p w:rsidR="00F3555A" w:rsidRPr="00436976" w:rsidRDefault="00F3555A" w:rsidP="00E63CC3">
      <w:pPr>
        <w:numPr>
          <w:ilvl w:val="0"/>
          <w:numId w:val="2"/>
        </w:numPr>
        <w:tabs>
          <w:tab w:val="left" w:pos="360"/>
          <w:tab w:val="num" w:pos="630"/>
        </w:tabs>
        <w:suppressAutoHyphens/>
        <w:autoSpaceDE w:val="0"/>
        <w:jc w:val="both"/>
        <w:rPr>
          <w:lang w:val="en-GB"/>
        </w:rPr>
      </w:pPr>
      <w:bookmarkStart w:id="15" w:name="_Ref347846976"/>
      <w:r w:rsidRPr="00436976">
        <w:rPr>
          <w:bCs/>
          <w:lang w:val="en-GB"/>
        </w:rPr>
        <w:t xml:space="preserve">The SRSG argues that, in general, when considering whether UNMIK has satisfied its procedural obligations under Article 2 of the ECHR, the Panel must take into consideration the special circumstances in Kosovo at the time. This was especially the case in the initial stage of its deployment, the period during which </w:t>
      </w:r>
      <w:r w:rsidR="000A2DD5" w:rsidRPr="00D3228A">
        <w:rPr>
          <w:lang w:val="en-GB"/>
        </w:rPr>
        <w:t>Mr Ivan Majstorović</w:t>
      </w:r>
      <w:r w:rsidR="00D3228A">
        <w:rPr>
          <w:lang w:val="en-GB"/>
        </w:rPr>
        <w:t>’s</w:t>
      </w:r>
      <w:r w:rsidR="000A2DD5" w:rsidRPr="00436976">
        <w:rPr>
          <w:lang w:val="en-GB"/>
        </w:rPr>
        <w:t xml:space="preserve"> and Mr Dragan Stevanović</w:t>
      </w:r>
      <w:r w:rsidR="00B07819">
        <w:rPr>
          <w:lang w:val="en-GB"/>
        </w:rPr>
        <w:t>’</w:t>
      </w:r>
      <w:r w:rsidRPr="00436976">
        <w:rPr>
          <w:bCs/>
          <w:lang w:val="en-GB"/>
        </w:rPr>
        <w:t>s abduction</w:t>
      </w:r>
      <w:r w:rsidR="000A2DD5" w:rsidRPr="00436976">
        <w:rPr>
          <w:bCs/>
          <w:lang w:val="en-GB"/>
        </w:rPr>
        <w:t>s</w:t>
      </w:r>
      <w:r w:rsidRPr="00436976">
        <w:rPr>
          <w:bCs/>
          <w:lang w:val="en-GB"/>
        </w:rPr>
        <w:t xml:space="preserve"> occurred.</w:t>
      </w:r>
      <w:bookmarkEnd w:id="15"/>
    </w:p>
    <w:p w:rsidR="00F3555A" w:rsidRPr="00436976" w:rsidRDefault="00F3555A" w:rsidP="00F3555A">
      <w:pPr>
        <w:tabs>
          <w:tab w:val="left" w:pos="360"/>
        </w:tabs>
        <w:suppressAutoHyphens/>
        <w:autoSpaceDE w:val="0"/>
        <w:ind w:left="360"/>
        <w:jc w:val="both"/>
        <w:rPr>
          <w:lang w:val="en-GB"/>
        </w:rPr>
      </w:pPr>
    </w:p>
    <w:p w:rsidR="00F3555A" w:rsidRPr="00436976" w:rsidRDefault="00F3555A" w:rsidP="00E63CC3">
      <w:pPr>
        <w:numPr>
          <w:ilvl w:val="0"/>
          <w:numId w:val="2"/>
        </w:numPr>
        <w:tabs>
          <w:tab w:val="left" w:pos="360"/>
          <w:tab w:val="num" w:pos="630"/>
        </w:tabs>
        <w:suppressAutoHyphens/>
        <w:autoSpaceDE w:val="0"/>
        <w:jc w:val="both"/>
        <w:rPr>
          <w:lang w:val="en-GB"/>
        </w:rPr>
      </w:pPr>
      <w:r w:rsidRPr="00436976">
        <w:rPr>
          <w:lang w:val="en-GB"/>
        </w:rPr>
        <w:t xml:space="preserve">The SRSG further observes that when determining applications under Article 2, consideration must be given to not imposing an impossible or disproportionate burden on UNMIK. In this regard, the SRSG recalls the judgment of 15 February 2011 rendered by the European Court of Human Rights in the case </w:t>
      </w:r>
      <w:r w:rsidRPr="00436976">
        <w:rPr>
          <w:i/>
          <w:lang w:val="en-GB"/>
        </w:rPr>
        <w:t>Palić v. Bosnia and Herzegovina</w:t>
      </w:r>
      <w:r w:rsidRPr="00436976">
        <w:rPr>
          <w:lang w:val="en-GB"/>
        </w:rPr>
        <w:t>, stating at paragraph 70:</w:t>
      </w:r>
    </w:p>
    <w:p w:rsidR="00F3555A" w:rsidRPr="00436976" w:rsidRDefault="00F3555A" w:rsidP="00F3555A">
      <w:pPr>
        <w:pStyle w:val="ListParagraph"/>
        <w:rPr>
          <w:lang w:val="en-GB"/>
        </w:rPr>
      </w:pPr>
    </w:p>
    <w:p w:rsidR="00F3555A" w:rsidRPr="00436976" w:rsidRDefault="00F3555A" w:rsidP="00F3555A">
      <w:pPr>
        <w:suppressAutoHyphens/>
        <w:ind w:left="630"/>
        <w:jc w:val="both"/>
        <w:rPr>
          <w:lang w:val="en-GB"/>
        </w:rPr>
      </w:pPr>
      <w:r w:rsidRPr="00436976">
        <w:rPr>
          <w:lang w:val="en-GB"/>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F3555A" w:rsidRPr="00436976" w:rsidRDefault="00F3555A" w:rsidP="00F3555A">
      <w:pPr>
        <w:suppressAutoHyphens/>
        <w:jc w:val="both"/>
        <w:rPr>
          <w:lang w:val="en-GB"/>
        </w:rPr>
      </w:pPr>
    </w:p>
    <w:p w:rsidR="00F3555A" w:rsidRPr="00436976" w:rsidRDefault="00F3555A" w:rsidP="00E63CC3">
      <w:pPr>
        <w:pStyle w:val="Default"/>
        <w:numPr>
          <w:ilvl w:val="0"/>
          <w:numId w:val="2"/>
        </w:numPr>
        <w:tabs>
          <w:tab w:val="left" w:pos="720"/>
        </w:tabs>
        <w:jc w:val="both"/>
        <w:rPr>
          <w:i/>
          <w:lang w:val="en-GB"/>
        </w:rPr>
      </w:pPr>
      <w:r w:rsidRPr="00436976">
        <w:rPr>
          <w:lang w:val="en-GB"/>
        </w:rPr>
        <w:t xml:space="preserve">In the view of the SRSG, UNMIK was faced with a very similar situation in Kosovo as the one in Bosnia in the aftermath of that conflict. The SRSG states that thousands of people were displaced or went missing. Many of the persons who went missing were abducted, killed, and buried in unmarked graves inside or outside Kosovo, which made it very difficult locating and recovering their mortal remains. </w:t>
      </w:r>
    </w:p>
    <w:p w:rsidR="00F3555A" w:rsidRPr="00436976" w:rsidRDefault="00F3555A" w:rsidP="00F3555A">
      <w:pPr>
        <w:pStyle w:val="Default"/>
        <w:tabs>
          <w:tab w:val="left" w:pos="360"/>
          <w:tab w:val="left" w:pos="720"/>
        </w:tabs>
        <w:ind w:left="360"/>
        <w:jc w:val="both"/>
        <w:rPr>
          <w:i/>
          <w:lang w:val="en-GB"/>
        </w:rPr>
      </w:pPr>
    </w:p>
    <w:p w:rsidR="00F3555A" w:rsidRPr="00436976" w:rsidRDefault="00F3555A" w:rsidP="00E63CC3">
      <w:pPr>
        <w:pStyle w:val="Default"/>
        <w:numPr>
          <w:ilvl w:val="0"/>
          <w:numId w:val="2"/>
        </w:numPr>
        <w:tabs>
          <w:tab w:val="left" w:pos="720"/>
        </w:tabs>
        <w:jc w:val="both"/>
        <w:rPr>
          <w:lang w:val="en-GB"/>
        </w:rPr>
      </w:pPr>
      <w:r w:rsidRPr="00436976">
        <w:rPr>
          <w:lang w:val="en-GB"/>
        </w:rPr>
        <w:t>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436976">
        <w:rPr>
          <w:i/>
          <w:lang w:val="en-GB"/>
        </w:rPr>
        <w:t>ex-officio</w:t>
      </w:r>
      <w:r w:rsidRPr="00436976">
        <w:rPr>
          <w:lang w:val="en-GB"/>
        </w:rPr>
        <w:t xml:space="preserve">, without any broader prosecutorial strategy”. As a consequence, a large amount of unstructured information was collected. The SRSG states that, taking into account the difficulties described above, “the process of dealing effectively with disappearances and other serious violations of international humanitarian law has been understandably incremental” in Kosovo as it is reflected in the </w:t>
      </w:r>
      <w:r w:rsidRPr="00436976">
        <w:rPr>
          <w:i/>
          <w:lang w:val="en-GB"/>
        </w:rPr>
        <w:t xml:space="preserve">Palić </w:t>
      </w:r>
      <w:r w:rsidRPr="00436976">
        <w:rPr>
          <w:lang w:val="en-GB"/>
        </w:rPr>
        <w:t xml:space="preserve">case referred to above. The SRSG concludes that the work of the OMPF contributed greatly to determining the whereabouts and fate of the missing from the Kosovo conflict; however it was not possible to locate all the missing within the timeframe and resources available at that time. </w:t>
      </w:r>
    </w:p>
    <w:p w:rsidR="00F3555A" w:rsidRPr="00436976" w:rsidRDefault="00F3555A" w:rsidP="00F3555A">
      <w:pPr>
        <w:pStyle w:val="Default"/>
        <w:tabs>
          <w:tab w:val="left" w:pos="360"/>
          <w:tab w:val="left" w:pos="720"/>
        </w:tabs>
        <w:ind w:left="360"/>
        <w:jc w:val="both"/>
        <w:rPr>
          <w:lang w:val="en-GB"/>
        </w:rPr>
      </w:pPr>
    </w:p>
    <w:p w:rsidR="00F3555A" w:rsidRPr="00436976" w:rsidRDefault="00F3555A" w:rsidP="00E63CC3">
      <w:pPr>
        <w:pStyle w:val="Default"/>
        <w:numPr>
          <w:ilvl w:val="0"/>
          <w:numId w:val="2"/>
        </w:numPr>
        <w:tabs>
          <w:tab w:val="left" w:pos="720"/>
        </w:tabs>
        <w:jc w:val="both"/>
        <w:rPr>
          <w:lang w:val="en-GB"/>
        </w:rPr>
      </w:pPr>
      <w:r w:rsidRPr="00436976">
        <w:rPr>
          <w:lang w:val="en-GB"/>
        </w:rPr>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p>
    <w:p w:rsidR="00F3555A" w:rsidRPr="00436976" w:rsidRDefault="00F3555A" w:rsidP="00F3555A">
      <w:pPr>
        <w:pStyle w:val="ListParagraph"/>
        <w:rPr>
          <w:lang w:val="en-GB" w:eastAsia="en-US"/>
        </w:rPr>
      </w:pPr>
    </w:p>
    <w:p w:rsidR="00F3555A" w:rsidRPr="00436976" w:rsidRDefault="00F3555A" w:rsidP="00F3555A">
      <w:pPr>
        <w:pStyle w:val="Default"/>
        <w:tabs>
          <w:tab w:val="left" w:pos="360"/>
          <w:tab w:val="left" w:pos="720"/>
        </w:tabs>
        <w:ind w:left="720"/>
        <w:jc w:val="both"/>
        <w:rPr>
          <w:lang w:val="en-GB"/>
        </w:rPr>
      </w:pPr>
      <w:r w:rsidRPr="00436976">
        <w:rPr>
          <w:lang w:val="en-GB"/>
        </w:rPr>
        <w:t xml:space="preserve">“UNMIK Police had to deal in the aftermath of war with dead bodies and looted and burnt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to establish order and to quickly construct a framework to register and investigate crimes. </w:t>
      </w:r>
    </w:p>
    <w:p w:rsidR="00F3555A" w:rsidRPr="00436976" w:rsidRDefault="00F3555A" w:rsidP="00F3555A">
      <w:pPr>
        <w:pStyle w:val="Default"/>
        <w:tabs>
          <w:tab w:val="left" w:pos="360"/>
          <w:tab w:val="left" w:pos="720"/>
        </w:tabs>
        <w:ind w:left="720"/>
        <w:jc w:val="both"/>
        <w:rPr>
          <w:lang w:val="en-GB"/>
        </w:rPr>
      </w:pPr>
    </w:p>
    <w:p w:rsidR="00F3555A" w:rsidRPr="00436976" w:rsidRDefault="00F3555A" w:rsidP="00F3555A">
      <w:pPr>
        <w:pStyle w:val="Default"/>
        <w:tabs>
          <w:tab w:val="left" w:pos="360"/>
          <w:tab w:val="left" w:pos="720"/>
        </w:tabs>
        <w:ind w:left="720"/>
        <w:jc w:val="both"/>
        <w:rPr>
          <w:lang w:val="en-GB"/>
        </w:rPr>
      </w:pPr>
      <w:r w:rsidRPr="00436976">
        <w:rPr>
          <w:lang w:val="en-GB"/>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F3555A" w:rsidRPr="00436976" w:rsidRDefault="00F3555A" w:rsidP="00F3555A">
      <w:pPr>
        <w:pStyle w:val="ListParagraph"/>
        <w:rPr>
          <w:lang w:val="en-GB" w:eastAsia="en-US"/>
        </w:rPr>
      </w:pPr>
    </w:p>
    <w:p w:rsidR="00F3555A" w:rsidRPr="00436976" w:rsidRDefault="00F3555A" w:rsidP="00E63CC3">
      <w:pPr>
        <w:pStyle w:val="Default"/>
        <w:numPr>
          <w:ilvl w:val="0"/>
          <w:numId w:val="2"/>
        </w:numPr>
        <w:tabs>
          <w:tab w:val="left" w:pos="720"/>
        </w:tabs>
        <w:jc w:val="both"/>
        <w:rPr>
          <w:lang w:val="en-GB"/>
        </w:rPr>
      </w:pPr>
      <w:r w:rsidRPr="00436976">
        <w:rPr>
          <w:lang w:val="en-GB"/>
        </w:rPr>
        <w:t xml:space="preserve">The SRSG states that UNMIK international police officers working on cases of missing persons had to adjust to conducting investigations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are not faced with the high number of cases of this nature associated with a post-conflict situation. </w:t>
      </w:r>
    </w:p>
    <w:p w:rsidR="00F3555A" w:rsidRPr="00436976" w:rsidRDefault="00F3555A" w:rsidP="00F3555A">
      <w:pPr>
        <w:tabs>
          <w:tab w:val="left" w:pos="360"/>
        </w:tabs>
        <w:suppressAutoHyphens/>
        <w:autoSpaceDE w:val="0"/>
        <w:ind w:left="360" w:hanging="360"/>
        <w:jc w:val="both"/>
        <w:rPr>
          <w:bCs/>
          <w:lang w:val="en-GB"/>
        </w:rPr>
      </w:pPr>
    </w:p>
    <w:p w:rsidR="008366D7" w:rsidRPr="00436976" w:rsidRDefault="00F3555A" w:rsidP="00E63CC3">
      <w:pPr>
        <w:numPr>
          <w:ilvl w:val="0"/>
          <w:numId w:val="2"/>
        </w:numPr>
        <w:tabs>
          <w:tab w:val="left" w:pos="360"/>
          <w:tab w:val="num" w:pos="630"/>
        </w:tabs>
        <w:suppressAutoHyphens/>
        <w:autoSpaceDE w:val="0"/>
        <w:jc w:val="both"/>
        <w:rPr>
          <w:bCs/>
          <w:lang w:val="en-GB"/>
        </w:rPr>
      </w:pPr>
      <w:bookmarkStart w:id="16" w:name="_Ref361991219"/>
      <w:bookmarkStart w:id="17" w:name="_Ref361745909"/>
      <w:r w:rsidRPr="00436976">
        <w:rPr>
          <w:bCs/>
          <w:lang w:val="en-GB"/>
        </w:rPr>
        <w:t>With regard to this particular case, the SRSG specifically argues that “</w:t>
      </w:r>
      <w:r w:rsidR="00E110C7" w:rsidRPr="00436976">
        <w:rPr>
          <w:bCs/>
          <w:lang w:val="en-GB"/>
        </w:rPr>
        <w:t>it is evident that UNMIK Police did open and pursue an investigation into the disappearance of Mr Ivan Majstorović</w:t>
      </w:r>
      <w:r w:rsidR="00E065DF" w:rsidRPr="00436976">
        <w:rPr>
          <w:bCs/>
          <w:lang w:val="en-GB"/>
        </w:rPr>
        <w:t xml:space="preserve"> </w:t>
      </w:r>
      <w:r w:rsidR="00E110C7" w:rsidRPr="00436976">
        <w:rPr>
          <w:bCs/>
          <w:lang w:val="en-GB"/>
        </w:rPr>
        <w:t>…a missing person file regarding Mr Ivan Majstorović was opened by the UNMIK MPU in 1999. On 20 November 2003, the Cent</w:t>
      </w:r>
      <w:r w:rsidR="00AD5960" w:rsidRPr="00436976">
        <w:rPr>
          <w:bCs/>
          <w:lang w:val="en-GB"/>
        </w:rPr>
        <w:t>ral Criminal Investigations Unit</w:t>
      </w:r>
      <w:r w:rsidR="00E110C7" w:rsidRPr="00436976">
        <w:rPr>
          <w:bCs/>
          <w:lang w:val="en-GB"/>
        </w:rPr>
        <w:t xml:space="preserve"> made a decision to close the case following a determination that the case did not meet the level of </w:t>
      </w:r>
      <w:proofErr w:type="gramStart"/>
      <w:r w:rsidR="00E110C7" w:rsidRPr="00436976">
        <w:rPr>
          <w:bCs/>
          <w:lang w:val="en-GB"/>
        </w:rPr>
        <w:t>either proof</w:t>
      </w:r>
      <w:proofErr w:type="gramEnd"/>
      <w:r w:rsidR="00E110C7" w:rsidRPr="00436976">
        <w:rPr>
          <w:bCs/>
          <w:lang w:val="en-GB"/>
        </w:rPr>
        <w:t>, evidence or suspect identification to remain open. On October 2007, the War Crimes Unit decided to keep the case closed because of lack of evidence and on 10 December 2007 passed the file to the Ante Mortem Section for review.”</w:t>
      </w:r>
      <w:bookmarkEnd w:id="16"/>
      <w:r w:rsidR="00E110C7" w:rsidRPr="00436976">
        <w:rPr>
          <w:bCs/>
          <w:lang w:val="en-GB"/>
        </w:rPr>
        <w:t xml:space="preserve"> </w:t>
      </w:r>
      <w:bookmarkEnd w:id="17"/>
    </w:p>
    <w:p w:rsidR="008366D7" w:rsidRPr="00436976" w:rsidRDefault="008366D7" w:rsidP="008366D7">
      <w:pPr>
        <w:pStyle w:val="ListParagraph"/>
        <w:rPr>
          <w:bCs/>
          <w:highlight w:val="yellow"/>
          <w:lang w:val="en-GB"/>
        </w:rPr>
      </w:pPr>
    </w:p>
    <w:p w:rsidR="00DD5917" w:rsidRPr="00436976" w:rsidRDefault="008366D7" w:rsidP="00E63CC3">
      <w:pPr>
        <w:numPr>
          <w:ilvl w:val="0"/>
          <w:numId w:val="2"/>
        </w:numPr>
        <w:tabs>
          <w:tab w:val="left" w:pos="360"/>
          <w:tab w:val="num" w:pos="630"/>
        </w:tabs>
        <w:suppressAutoHyphens/>
        <w:autoSpaceDE w:val="0"/>
        <w:jc w:val="both"/>
        <w:rPr>
          <w:bCs/>
          <w:lang w:val="en-GB"/>
        </w:rPr>
      </w:pPr>
      <w:r w:rsidRPr="00436976">
        <w:rPr>
          <w:bCs/>
          <w:lang w:val="en-GB"/>
        </w:rPr>
        <w:t>The SRSG highlights, “</w:t>
      </w:r>
      <w:r w:rsidR="00E110C7" w:rsidRPr="00436976">
        <w:rPr>
          <w:bCs/>
          <w:lang w:val="en-GB"/>
        </w:rPr>
        <w:t xml:space="preserve">A report from the Special Prosecutor of Kosovo dated 3 February 2009 indicates that the matter is still under investigation as a kidnapping.” </w:t>
      </w:r>
    </w:p>
    <w:p w:rsidR="00F3555A" w:rsidRPr="00436976" w:rsidRDefault="00F3555A" w:rsidP="00F3555A">
      <w:pPr>
        <w:suppressAutoHyphens/>
        <w:autoSpaceDE w:val="0"/>
        <w:jc w:val="both"/>
        <w:rPr>
          <w:bCs/>
          <w:lang w:val="en-GB"/>
        </w:rPr>
      </w:pPr>
    </w:p>
    <w:p w:rsidR="00F3555A" w:rsidRPr="00436976" w:rsidRDefault="007B7582" w:rsidP="00F3555A">
      <w:pPr>
        <w:tabs>
          <w:tab w:val="left" w:pos="360"/>
        </w:tabs>
        <w:suppressAutoHyphens/>
        <w:autoSpaceDE w:val="0"/>
        <w:ind w:left="360" w:hanging="360"/>
        <w:jc w:val="both"/>
        <w:rPr>
          <w:b/>
          <w:bCs/>
          <w:lang w:val="en-GB"/>
        </w:rPr>
      </w:pPr>
      <w:r w:rsidRPr="00436976">
        <w:rPr>
          <w:b/>
          <w:bCs/>
          <w:lang w:val="en-GB"/>
        </w:rPr>
        <w:t>3</w:t>
      </w:r>
      <w:r w:rsidR="00F3555A" w:rsidRPr="00436976">
        <w:rPr>
          <w:b/>
          <w:bCs/>
          <w:lang w:val="en-GB"/>
        </w:rPr>
        <w:t>.</w:t>
      </w:r>
      <w:r w:rsidR="00F3555A" w:rsidRPr="00436976">
        <w:rPr>
          <w:b/>
          <w:bCs/>
          <w:lang w:val="en-GB"/>
        </w:rPr>
        <w:tab/>
        <w:t>The Panel’s Assessment</w:t>
      </w:r>
    </w:p>
    <w:p w:rsidR="00F3555A" w:rsidRPr="00436976" w:rsidRDefault="00F3555A" w:rsidP="00F3555A">
      <w:pPr>
        <w:tabs>
          <w:tab w:val="left" w:pos="360"/>
        </w:tabs>
        <w:suppressAutoHyphens/>
        <w:autoSpaceDE w:val="0"/>
        <w:ind w:left="360" w:hanging="360"/>
        <w:jc w:val="both"/>
        <w:rPr>
          <w:b/>
          <w:bCs/>
          <w:i/>
          <w:lang w:val="en-GB"/>
        </w:rPr>
      </w:pPr>
    </w:p>
    <w:p w:rsidR="00F3555A" w:rsidRPr="00436976" w:rsidRDefault="00F3555A" w:rsidP="00E63CC3">
      <w:pPr>
        <w:pStyle w:val="ListParagraph"/>
        <w:numPr>
          <w:ilvl w:val="0"/>
          <w:numId w:val="6"/>
        </w:numPr>
        <w:tabs>
          <w:tab w:val="left" w:pos="360"/>
        </w:tabs>
        <w:suppressAutoHyphens w:val="0"/>
        <w:ind w:left="360"/>
        <w:contextualSpacing/>
        <w:jc w:val="both"/>
        <w:rPr>
          <w:i/>
          <w:lang w:val="en-GB" w:eastAsia="en-US"/>
        </w:rPr>
      </w:pPr>
      <w:r w:rsidRPr="00436976">
        <w:rPr>
          <w:i/>
          <w:lang w:val="en-GB" w:eastAsia="en-US"/>
        </w:rPr>
        <w:t xml:space="preserve">Submission of relevant files </w:t>
      </w:r>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r w:rsidRPr="00436976">
        <w:rPr>
          <w:lang w:val="en-GB"/>
        </w:rPr>
        <w:t>The SRSG observes that additional and conclusive information may exist beyond the case file submitted to the Panel concerning the investigation into the case of</w:t>
      </w:r>
      <w:r w:rsidR="007B7582" w:rsidRPr="00436976">
        <w:rPr>
          <w:lang w:val="en-GB"/>
        </w:rPr>
        <w:t xml:space="preserve"> </w:t>
      </w:r>
      <w:r w:rsidR="00E110C7" w:rsidRPr="00436976">
        <w:rPr>
          <w:lang w:val="en-GB"/>
        </w:rPr>
        <w:t>Mr Ivan Majstorović and Mr Dragan Stevanović</w:t>
      </w:r>
      <w:r w:rsidRPr="00436976">
        <w:rPr>
          <w:lang w:val="en-GB"/>
        </w:rPr>
        <w:t xml:space="preserve">. </w:t>
      </w:r>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bookmarkStart w:id="18" w:name="_Ref361751874"/>
      <w:r w:rsidRPr="00436976">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436976">
        <w:rPr>
          <w:lang w:val="en-GB"/>
        </w:rPr>
        <w:t>provide</w:t>
      </w:r>
      <w:proofErr w:type="gramEnd"/>
      <w:r w:rsidRPr="00436976">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436976">
        <w:rPr>
          <w:i/>
          <w:lang w:val="en-GB"/>
        </w:rPr>
        <w:t>Çelikbilek v. Turkey</w:t>
      </w:r>
      <w:r w:rsidRPr="00436976">
        <w:rPr>
          <w:lang w:val="en-GB"/>
        </w:rPr>
        <w:t xml:space="preserve">, </w:t>
      </w:r>
      <w:r w:rsidRPr="00436976">
        <w:rPr>
          <w:lang w:val="en-GB" w:eastAsia="nl-BE"/>
        </w:rPr>
        <w:t>no. 27693/95, judgment of 31 May 2005</w:t>
      </w:r>
      <w:r w:rsidRPr="00436976">
        <w:rPr>
          <w:i/>
          <w:iCs/>
          <w:lang w:val="en-GB" w:eastAsia="nl-BE"/>
        </w:rPr>
        <w:t>,</w:t>
      </w:r>
      <w:r w:rsidRPr="00436976">
        <w:rPr>
          <w:iCs/>
          <w:lang w:val="en-GB" w:eastAsia="nl-BE"/>
        </w:rPr>
        <w:t xml:space="preserve"> § 56).</w:t>
      </w:r>
      <w:bookmarkEnd w:id="18"/>
      <w:r w:rsidRPr="00436976">
        <w:rPr>
          <w:rFonts w:ascii="Helv" w:hAnsi="Helv" w:cs="Helv"/>
          <w:sz w:val="20"/>
          <w:szCs w:val="20"/>
          <w:lang w:val="en-GB" w:eastAsia="nl-BE"/>
        </w:rPr>
        <w:t xml:space="preserve"> </w:t>
      </w:r>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r w:rsidRPr="00436976">
        <w:rPr>
          <w:lang w:val="en-GB"/>
        </w:rPr>
        <w:t>The Panel notes that UNMIK was requested on at least three occasions to submit relevant documents in relation to the case. In response to the lat</w:t>
      </w:r>
      <w:r w:rsidR="007B7582" w:rsidRPr="00436976">
        <w:rPr>
          <w:lang w:val="en-GB"/>
        </w:rPr>
        <w:t xml:space="preserve">est request from the Panel, on </w:t>
      </w:r>
      <w:r w:rsidR="00ED3AEF" w:rsidRPr="00436976">
        <w:rPr>
          <w:lang w:val="en-GB"/>
        </w:rPr>
        <w:t>18 June</w:t>
      </w:r>
      <w:r w:rsidRPr="00436976">
        <w:rPr>
          <w:lang w:val="en-GB"/>
        </w:rPr>
        <w:t xml:space="preserve"> 2013, UNMIK stated that the disclosure of files concerning the case could be considered final. </w:t>
      </w:r>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bookmarkStart w:id="19" w:name="_Ref361997292"/>
      <w:r w:rsidRPr="00436976">
        <w:rPr>
          <w:lang w:val="en-GB"/>
        </w:rPr>
        <w:t xml:space="preserve">The Panel also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436976">
        <w:rPr>
          <w:i/>
          <w:lang w:val="en-GB"/>
        </w:rPr>
        <w:t>per se</w:t>
      </w:r>
      <w:r w:rsidRPr="00436976">
        <w:rPr>
          <w:lang w:val="en-GB"/>
        </w:rPr>
        <w:t xml:space="preserve"> issues under Article 2. The Panel likewise notes that UNMIK has not provided any explanation as to why the documentation may be incomplete, nor with respect to which parts.</w:t>
      </w:r>
      <w:bookmarkEnd w:id="19"/>
      <w:r w:rsidRPr="00436976">
        <w:rPr>
          <w:lang w:val="en-GB"/>
        </w:rPr>
        <w:t xml:space="preserve"> </w:t>
      </w:r>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r w:rsidRPr="00436976">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436976">
        <w:rPr>
          <w:i/>
          <w:lang w:val="en-GB"/>
        </w:rPr>
        <w:t>Tsechoyev v. Russia</w:t>
      </w:r>
      <w:r w:rsidRPr="00436976">
        <w:rPr>
          <w:lang w:val="en-GB"/>
        </w:rPr>
        <w:t>, no. 39358/05, judgment of</w:t>
      </w:r>
      <w:r w:rsidRPr="00436976">
        <w:rPr>
          <w:i/>
          <w:lang w:val="en-GB"/>
        </w:rPr>
        <w:t xml:space="preserve"> </w:t>
      </w:r>
      <w:r w:rsidRPr="00436976">
        <w:rPr>
          <w:lang w:val="en-GB"/>
        </w:rPr>
        <w:t xml:space="preserve">15 March 2011, § 146). </w:t>
      </w:r>
    </w:p>
    <w:p w:rsidR="00F3555A" w:rsidRPr="00436976" w:rsidRDefault="00F3555A" w:rsidP="00F3555A">
      <w:pPr>
        <w:tabs>
          <w:tab w:val="left" w:pos="360"/>
        </w:tabs>
        <w:suppressAutoHyphens/>
        <w:autoSpaceDE w:val="0"/>
        <w:ind w:left="360"/>
        <w:jc w:val="both"/>
        <w:rPr>
          <w:bCs/>
          <w:lang w:val="en-GB"/>
        </w:rPr>
      </w:pPr>
    </w:p>
    <w:p w:rsidR="00F3555A" w:rsidRPr="00436976" w:rsidRDefault="00F3555A" w:rsidP="00E63CC3">
      <w:pPr>
        <w:pStyle w:val="ListParagraph"/>
        <w:numPr>
          <w:ilvl w:val="0"/>
          <w:numId w:val="6"/>
        </w:numPr>
        <w:tabs>
          <w:tab w:val="left" w:pos="360"/>
        </w:tabs>
        <w:suppressAutoHyphens w:val="0"/>
        <w:ind w:left="360"/>
        <w:contextualSpacing/>
        <w:jc w:val="both"/>
        <w:rPr>
          <w:i/>
          <w:lang w:val="en-GB" w:eastAsia="en-US"/>
        </w:rPr>
      </w:pPr>
      <w:r w:rsidRPr="00436976">
        <w:rPr>
          <w:i/>
          <w:lang w:val="en-GB" w:eastAsia="en-US"/>
        </w:rPr>
        <w:t xml:space="preserve">General principles concerning the obligation to conduct an effective investigation under Article 2 </w:t>
      </w:r>
    </w:p>
    <w:p w:rsidR="00F3555A" w:rsidRPr="00436976" w:rsidRDefault="00F3555A" w:rsidP="00F3555A">
      <w:pPr>
        <w:tabs>
          <w:tab w:val="left" w:pos="360"/>
        </w:tabs>
        <w:suppressAutoHyphens/>
        <w:autoSpaceDE w:val="0"/>
        <w:jc w:val="both"/>
        <w:rPr>
          <w:bCs/>
          <w:lang w:val="en-GB"/>
        </w:rPr>
      </w:pPr>
    </w:p>
    <w:p w:rsidR="002C3F36" w:rsidRPr="00436976" w:rsidRDefault="002C3F36" w:rsidP="00E63CC3">
      <w:pPr>
        <w:numPr>
          <w:ilvl w:val="0"/>
          <w:numId w:val="2"/>
        </w:numPr>
        <w:suppressAutoHyphens/>
        <w:autoSpaceDE w:val="0"/>
        <w:jc w:val="both"/>
        <w:rPr>
          <w:lang w:val="en-GB"/>
        </w:rPr>
      </w:pPr>
      <w:bookmarkStart w:id="20" w:name="_Ref361757219"/>
      <w:r w:rsidRPr="00436976">
        <w:rPr>
          <w:lang w:val="en-GB"/>
        </w:rPr>
        <w:t xml:space="preserve">First, the Panel considers that the limited content of the investigative files, in particular in the light of the SRSG’s argument that, for this reason, it is not possible to ascertain whether there was a failure by UNMIK to conduct an effective investigation into the case of </w:t>
      </w:r>
      <w:r w:rsidR="00C67379" w:rsidRPr="00436976">
        <w:rPr>
          <w:lang w:val="en-GB"/>
        </w:rPr>
        <w:t xml:space="preserve">Mr Ivan Majstorović and Mr Dragan Stevanović </w:t>
      </w:r>
      <w:r w:rsidRPr="00436976">
        <w:rPr>
          <w:lang w:val="en-GB"/>
        </w:rPr>
        <w:t xml:space="preserve">raises issues of the burden of proof. In this regard, the Panel refers to the approach of the </w:t>
      </w:r>
      <w:r w:rsidRPr="00436976">
        <w:rPr>
          <w:color w:val="000000"/>
          <w:lang w:val="en-GB"/>
        </w:rPr>
        <w:t>European Court on Human Rights as well as of the United Nations Human Rights Committee (HRC) on the matter</w:t>
      </w:r>
      <w:r w:rsidRPr="00436976">
        <w:rPr>
          <w:lang w:val="en-GB"/>
        </w:rPr>
        <w:t>. The general rule is that it is for the party who asserts a proposition of fact to prove it, but that this is not a rigid rule.</w:t>
      </w:r>
      <w:bookmarkStart w:id="21" w:name="_Ref342296805"/>
      <w:bookmarkEnd w:id="20"/>
    </w:p>
    <w:p w:rsidR="002C3F36" w:rsidRPr="00436976" w:rsidRDefault="002C3F36" w:rsidP="002C3F36">
      <w:pPr>
        <w:suppressAutoHyphens/>
        <w:autoSpaceDE w:val="0"/>
        <w:ind w:left="360"/>
        <w:jc w:val="both"/>
        <w:rPr>
          <w:lang w:val="en-GB"/>
        </w:rPr>
      </w:pPr>
    </w:p>
    <w:p w:rsidR="002C3F36" w:rsidRPr="00436976" w:rsidRDefault="002C3F36" w:rsidP="00E63CC3">
      <w:pPr>
        <w:numPr>
          <w:ilvl w:val="0"/>
          <w:numId w:val="2"/>
        </w:numPr>
        <w:suppressAutoHyphens/>
        <w:autoSpaceDE w:val="0"/>
        <w:jc w:val="both"/>
        <w:rPr>
          <w:lang w:val="en-GB"/>
        </w:rPr>
      </w:pPr>
      <w:r w:rsidRPr="00436976">
        <w:rPr>
          <w:lang w:val="en-GB"/>
        </w:rPr>
        <w:t xml:space="preserve">Following this general rule, at the admissibility stage an applicant must present facts, which are supportive of the allegations of the State’s responsibility, that is, to establish a </w:t>
      </w:r>
      <w:r w:rsidRPr="00436976">
        <w:rPr>
          <w:i/>
          <w:lang w:val="en-GB"/>
        </w:rPr>
        <w:t>prima facie</w:t>
      </w:r>
      <w:r w:rsidRPr="00436976">
        <w:rPr>
          <w:lang w:val="en-GB"/>
        </w:rPr>
        <w:t xml:space="preserve"> case against the authorities (see, </w:t>
      </w:r>
      <w:r w:rsidRPr="00436976">
        <w:rPr>
          <w:i/>
          <w:lang w:val="en-GB"/>
        </w:rPr>
        <w:t>mutatis mutandis</w:t>
      </w:r>
      <w:r w:rsidRPr="00436976">
        <w:rPr>
          <w:lang w:val="en-GB"/>
        </w:rPr>
        <w:t xml:space="preserve">, ECtHR, </w:t>
      </w:r>
      <w:r w:rsidRPr="00436976">
        <w:rPr>
          <w:i/>
          <w:iCs/>
          <w:lang w:val="en-GB"/>
        </w:rPr>
        <w:t>Artico v. Italy</w:t>
      </w:r>
      <w:r w:rsidRPr="00436976">
        <w:rPr>
          <w:lang w:val="en-GB"/>
        </w:rPr>
        <w:t xml:space="preserve">, no. 6694/74, judgment of 13 May 1980, §§ 29-30, Series A no. 37; ECtHR, </w:t>
      </w:r>
      <w:r w:rsidRPr="00436976">
        <w:rPr>
          <w:i/>
          <w:lang w:val="en-GB"/>
        </w:rPr>
        <w:t>Toğcu v. Turkey</w:t>
      </w:r>
      <w:r w:rsidRPr="00436976">
        <w:rPr>
          <w:lang w:val="en-GB"/>
        </w:rPr>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ECtHR [GC], </w:t>
      </w:r>
      <w:r w:rsidRPr="00436976">
        <w:rPr>
          <w:i/>
          <w:iCs/>
          <w:lang w:val="en-GB"/>
        </w:rPr>
        <w:t>Varnava and Others v Turkey</w:t>
      </w:r>
      <w:r w:rsidRPr="00436976">
        <w:rPr>
          <w:iCs/>
          <w:lang w:val="en-GB"/>
        </w:rPr>
        <w:t>,</w:t>
      </w:r>
      <w:r w:rsidRPr="00436976">
        <w:rPr>
          <w:i/>
          <w:iCs/>
          <w:lang w:val="en-GB"/>
        </w:rPr>
        <w:t xml:space="preserve"> </w:t>
      </w:r>
      <w:r w:rsidRPr="00436976">
        <w:rPr>
          <w:lang w:val="en-GB"/>
        </w:rPr>
        <w:t xml:space="preserve">cited above in § </w:t>
      </w:r>
      <w:r w:rsidR="007C1B88" w:rsidRPr="00436976">
        <w:rPr>
          <w:lang w:val="en-GB"/>
        </w:rPr>
        <w:fldChar w:fldCharType="begin"/>
      </w:r>
      <w:r w:rsidR="00DC3D6A" w:rsidRPr="00436976">
        <w:rPr>
          <w:lang w:val="en-GB"/>
        </w:rPr>
        <w:instrText xml:space="preserve"> REF _Ref361740164 \r \h </w:instrText>
      </w:r>
      <w:r w:rsidR="007C1B88" w:rsidRPr="00436976">
        <w:rPr>
          <w:lang w:val="en-GB"/>
        </w:rPr>
      </w:r>
      <w:r w:rsidR="007C1B88" w:rsidRPr="00436976">
        <w:rPr>
          <w:lang w:val="en-GB"/>
        </w:rPr>
        <w:fldChar w:fldCharType="separate"/>
      </w:r>
      <w:r w:rsidR="000A1CAA" w:rsidRPr="00436976">
        <w:rPr>
          <w:lang w:val="en-GB"/>
        </w:rPr>
        <w:t>39</w:t>
      </w:r>
      <w:r w:rsidR="007C1B88" w:rsidRPr="00436976">
        <w:rPr>
          <w:lang w:val="en-GB"/>
        </w:rPr>
        <w:fldChar w:fldCharType="end"/>
      </w:r>
      <w:r w:rsidRPr="00436976">
        <w:rPr>
          <w:lang w:val="en-GB"/>
        </w:rPr>
        <w:t>, at §§ 183-184).</w:t>
      </w:r>
      <w:bookmarkStart w:id="22" w:name="_Ref354502773"/>
      <w:bookmarkEnd w:id="21"/>
    </w:p>
    <w:p w:rsidR="002C3F36" w:rsidRPr="00436976" w:rsidRDefault="002C3F36" w:rsidP="002C3F36">
      <w:pPr>
        <w:pStyle w:val="ListParagraph"/>
        <w:rPr>
          <w:lang w:val="en-GB"/>
        </w:rPr>
      </w:pPr>
    </w:p>
    <w:p w:rsidR="002C3F36" w:rsidRPr="00436976" w:rsidRDefault="002C3F36" w:rsidP="00E63CC3">
      <w:pPr>
        <w:numPr>
          <w:ilvl w:val="0"/>
          <w:numId w:val="2"/>
        </w:numPr>
        <w:suppressAutoHyphens/>
        <w:autoSpaceDE w:val="0"/>
        <w:jc w:val="both"/>
        <w:rPr>
          <w:lang w:val="en-GB"/>
        </w:rPr>
      </w:pPr>
      <w:r w:rsidRPr="00436976">
        <w:rPr>
          <w:lang w:val="en-GB"/>
        </w:rPr>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ECtHR, </w:t>
      </w:r>
      <w:r w:rsidRPr="00436976">
        <w:rPr>
          <w:i/>
          <w:iCs/>
          <w:lang w:val="en-GB"/>
        </w:rPr>
        <w:t>Akkum and Others v. Turkey</w:t>
      </w:r>
      <w:r w:rsidRPr="00436976">
        <w:rPr>
          <w:lang w:val="en-GB"/>
        </w:rPr>
        <w:t>,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ECtHR</w:t>
      </w:r>
      <w:r w:rsidR="003E2101" w:rsidRPr="00436976">
        <w:rPr>
          <w:lang w:val="en-GB"/>
        </w:rPr>
        <w:t xml:space="preserve"> </w:t>
      </w:r>
      <w:r w:rsidR="003E2101" w:rsidRPr="00436976">
        <w:rPr>
          <w:iCs/>
          <w:lang w:val="en-GB"/>
        </w:rPr>
        <w:t>[GC]</w:t>
      </w:r>
      <w:r w:rsidRPr="00436976">
        <w:rPr>
          <w:lang w:val="en-GB"/>
        </w:rPr>
        <w:t xml:space="preserve">, </w:t>
      </w:r>
      <w:r w:rsidRPr="00436976">
        <w:rPr>
          <w:i/>
          <w:iCs/>
          <w:lang w:val="en-GB"/>
        </w:rPr>
        <w:t>Varnava and Others v Turkey</w:t>
      </w:r>
      <w:r w:rsidRPr="00436976">
        <w:rPr>
          <w:iCs/>
          <w:lang w:val="en-GB"/>
        </w:rPr>
        <w:t>,</w:t>
      </w:r>
      <w:r w:rsidRPr="00436976">
        <w:rPr>
          <w:i/>
          <w:iCs/>
          <w:lang w:val="en-GB"/>
        </w:rPr>
        <w:t xml:space="preserve"> </w:t>
      </w:r>
      <w:r w:rsidRPr="00436976">
        <w:rPr>
          <w:lang w:val="en-GB"/>
        </w:rPr>
        <w:t xml:space="preserve">cited above in § </w:t>
      </w:r>
      <w:r w:rsidR="007C1B88" w:rsidRPr="00436976">
        <w:rPr>
          <w:lang w:val="en-GB"/>
        </w:rPr>
        <w:fldChar w:fldCharType="begin"/>
      </w:r>
      <w:r w:rsidR="00DC3D6A" w:rsidRPr="00436976">
        <w:rPr>
          <w:lang w:val="en-GB"/>
        </w:rPr>
        <w:instrText xml:space="preserve"> REF _Ref361740164 \r \h </w:instrText>
      </w:r>
      <w:r w:rsidR="007C1B88" w:rsidRPr="00436976">
        <w:rPr>
          <w:lang w:val="en-GB"/>
        </w:rPr>
      </w:r>
      <w:r w:rsidR="007C1B88" w:rsidRPr="00436976">
        <w:rPr>
          <w:lang w:val="en-GB"/>
        </w:rPr>
        <w:fldChar w:fldCharType="separate"/>
      </w:r>
      <w:r w:rsidR="000E5CB5" w:rsidRPr="00436976">
        <w:rPr>
          <w:lang w:val="en-GB"/>
        </w:rPr>
        <w:t>39</w:t>
      </w:r>
      <w:r w:rsidR="007C1B88" w:rsidRPr="00436976">
        <w:rPr>
          <w:lang w:val="en-GB"/>
        </w:rPr>
        <w:fldChar w:fldCharType="end"/>
      </w:r>
      <w:r w:rsidRPr="00436976">
        <w:rPr>
          <w:lang w:val="en-GB"/>
        </w:rPr>
        <w:t xml:space="preserve"> at § 184; see also, HRC,</w:t>
      </w:r>
      <w:r w:rsidRPr="00436976">
        <w:rPr>
          <w:i/>
          <w:lang w:val="en-GB"/>
        </w:rPr>
        <w:t xml:space="preserve"> Benaniza v Algeria,</w:t>
      </w:r>
      <w:r w:rsidRPr="00436976">
        <w:rPr>
          <w:lang w:val="en-GB"/>
        </w:rPr>
        <w:t xml:space="preserve"> Views of 26 July 2010, § 9.4, CCPR/C/99/D/1588/2007; HRC,</w:t>
      </w:r>
      <w:r w:rsidRPr="00436976">
        <w:rPr>
          <w:i/>
          <w:lang w:val="en-GB"/>
        </w:rPr>
        <w:t xml:space="preserve"> Bashasha</w:t>
      </w:r>
      <w:r w:rsidRPr="00436976">
        <w:rPr>
          <w:i/>
          <w:color w:val="000000"/>
          <w:lang w:val="en-GB"/>
        </w:rPr>
        <w:t xml:space="preserve"> v. Libyan Arab Jamahiriya</w:t>
      </w:r>
      <w:r w:rsidRPr="00436976">
        <w:rPr>
          <w:color w:val="000000"/>
          <w:lang w:val="en-GB"/>
        </w:rPr>
        <w:t>, Views of 20 October 2010, § 7.2, CCPR/C/100/D/1776/2008).</w:t>
      </w:r>
      <w:bookmarkStart w:id="23" w:name="_Ref354409930"/>
      <w:bookmarkEnd w:id="22"/>
    </w:p>
    <w:p w:rsidR="002C3F36" w:rsidRPr="00436976" w:rsidRDefault="002C3F36" w:rsidP="002C3F36">
      <w:pPr>
        <w:pStyle w:val="ListParagraph"/>
        <w:rPr>
          <w:lang w:val="en-GB"/>
        </w:rPr>
      </w:pPr>
    </w:p>
    <w:p w:rsidR="002C3F36" w:rsidRPr="00436976" w:rsidRDefault="002C3F36" w:rsidP="00E63CC3">
      <w:pPr>
        <w:numPr>
          <w:ilvl w:val="0"/>
          <w:numId w:val="2"/>
        </w:numPr>
        <w:suppressAutoHyphens/>
        <w:autoSpaceDE w:val="0"/>
        <w:jc w:val="both"/>
        <w:rPr>
          <w:lang w:val="en-GB"/>
        </w:rPr>
      </w:pPr>
      <w:r w:rsidRPr="00436976">
        <w:rPr>
          <w:lang w:val="en-GB"/>
        </w:rPr>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w:t>
      </w:r>
      <w:r w:rsidRPr="00436976">
        <w:rPr>
          <w:color w:val="000000"/>
          <w:lang w:val="en-GB"/>
        </w:rPr>
        <w:t>strong</w:t>
      </w:r>
      <w:r w:rsidRPr="00436976">
        <w:rPr>
          <w:lang w:val="en-GB"/>
        </w:rPr>
        <w:t xml:space="preserve"> inferences” may be drawn from lack of documentation is applicable.</w:t>
      </w:r>
      <w:bookmarkEnd w:id="23"/>
    </w:p>
    <w:p w:rsidR="00F3555A" w:rsidRPr="00436976" w:rsidRDefault="00F3555A" w:rsidP="00F3555A">
      <w:pPr>
        <w:suppressAutoHyphens/>
        <w:autoSpaceDE w:val="0"/>
        <w:ind w:left="360"/>
        <w:jc w:val="both"/>
        <w:rPr>
          <w:bCs/>
          <w:lang w:val="en-GB"/>
        </w:rPr>
      </w:pPr>
    </w:p>
    <w:p w:rsidR="00F3555A" w:rsidRPr="00436976" w:rsidRDefault="00DC3D6A" w:rsidP="00E63CC3">
      <w:pPr>
        <w:numPr>
          <w:ilvl w:val="0"/>
          <w:numId w:val="2"/>
        </w:numPr>
        <w:tabs>
          <w:tab w:val="left" w:pos="360"/>
        </w:tabs>
        <w:suppressAutoHyphens/>
        <w:autoSpaceDE w:val="0"/>
        <w:jc w:val="both"/>
        <w:rPr>
          <w:bCs/>
          <w:lang w:val="en-GB"/>
        </w:rPr>
      </w:pPr>
      <w:bookmarkStart w:id="24" w:name="_Ref358375480"/>
      <w:r w:rsidRPr="00436976">
        <w:rPr>
          <w:lang w:val="en-GB"/>
        </w:rPr>
        <w:t>Second, t</w:t>
      </w:r>
      <w:r w:rsidR="00F3555A" w:rsidRPr="00436976">
        <w:rPr>
          <w:lang w:val="en-GB"/>
        </w:rPr>
        <w:t xml:space="preserve">he Panel notes that the positive obligation to investigate disappearances is widely accepted in international human rights law since at least the case of the Inter-American Court of Human Rights (IACtHR) </w:t>
      </w:r>
      <w:r w:rsidR="00F3555A" w:rsidRPr="00436976">
        <w:rPr>
          <w:i/>
          <w:lang w:val="en-GB"/>
        </w:rPr>
        <w:t>Velásquez-Rodríguez</w:t>
      </w:r>
      <w:r w:rsidR="00F3555A" w:rsidRPr="00436976">
        <w:rPr>
          <w:lang w:val="en-GB"/>
        </w:rPr>
        <w:t xml:space="preserve"> (see IACtHR, </w:t>
      </w:r>
      <w:r w:rsidR="00F3555A" w:rsidRPr="00436976">
        <w:rPr>
          <w:i/>
          <w:lang w:val="en-GB"/>
        </w:rPr>
        <w:t>Velásquez-Rodríguez v. Honduras</w:t>
      </w:r>
      <w:r w:rsidR="00F3555A" w:rsidRPr="00436976">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F3555A" w:rsidRPr="00436976">
        <w:rPr>
          <w:i/>
          <w:lang w:val="en-GB"/>
        </w:rPr>
        <w:t>Mohamed El Awani, v. Libyan Arab Jamahiriya</w:t>
      </w:r>
      <w:r w:rsidR="00F3555A" w:rsidRPr="00436976">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24"/>
      <w:r w:rsidR="00F3555A" w:rsidRPr="00436976">
        <w:rPr>
          <w:lang w:val="en-GB"/>
        </w:rPr>
        <w:t xml:space="preserve">  </w:t>
      </w:r>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bookmarkStart w:id="25" w:name="_Ref358368938"/>
      <w:r w:rsidRPr="00436976">
        <w:rPr>
          <w:lang w:val="en-GB"/>
        </w:rPr>
        <w:t xml:space="preserve">In order to address the complainants’ allegations, the Panel refers, in particular, to the well-established case law of the European Court on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mutatis mutandis, ECtHR, </w:t>
      </w:r>
      <w:r w:rsidRPr="00436976">
        <w:rPr>
          <w:i/>
          <w:lang w:val="en-GB"/>
        </w:rPr>
        <w:t>McCann and Others v. the United Kingdom</w:t>
      </w:r>
      <w:r w:rsidRPr="00436976">
        <w:rPr>
          <w:lang w:val="en-GB"/>
        </w:rPr>
        <w:t xml:space="preserve">, judgment of 27 September 1995, § 161, Series A no. 324; and ECtHR, </w:t>
      </w:r>
      <w:r w:rsidRPr="00436976">
        <w:rPr>
          <w:i/>
          <w:lang w:val="en-GB"/>
        </w:rPr>
        <w:t>Kaya v. Turkey</w:t>
      </w:r>
      <w:r w:rsidRPr="00436976">
        <w:rPr>
          <w:lang w:val="en-GB"/>
        </w:rPr>
        <w:t xml:space="preserve">, judgment of 19 February 1998, § 86, Reports 1998-I; see also ECtHR, </w:t>
      </w:r>
      <w:r w:rsidRPr="00436976">
        <w:rPr>
          <w:i/>
          <w:lang w:val="en-GB"/>
        </w:rPr>
        <w:t>Jasinskis v. Latvia</w:t>
      </w:r>
      <w:r w:rsidRPr="00436976">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436976">
        <w:rPr>
          <w:i/>
          <w:lang w:val="en-GB"/>
        </w:rPr>
        <w:t>Kolevi v. Bulgaria</w:t>
      </w:r>
      <w:r w:rsidRPr="00436976">
        <w:rPr>
          <w:lang w:val="en-GB"/>
        </w:rPr>
        <w:t>, no. 1108/02, judgment of 5 November 2009, § 191).</w:t>
      </w:r>
      <w:bookmarkEnd w:id="25"/>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r w:rsidRPr="00436976">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436976">
        <w:rPr>
          <w:i/>
          <w:lang w:val="en-GB"/>
        </w:rPr>
        <w:t>Varnava and Others v. Turkey</w:t>
      </w:r>
      <w:r w:rsidRPr="00436976">
        <w:rPr>
          <w:lang w:val="en-GB"/>
        </w:rPr>
        <w:t xml:space="preserve">, cited in § </w:t>
      </w:r>
      <w:r w:rsidR="007C1B88" w:rsidRPr="00436976">
        <w:rPr>
          <w:lang w:val="en-GB"/>
        </w:rPr>
        <w:fldChar w:fldCharType="begin"/>
      </w:r>
      <w:r w:rsidR="002C3F36" w:rsidRPr="00436976">
        <w:rPr>
          <w:lang w:val="en-GB"/>
        </w:rPr>
        <w:instrText xml:space="preserve"> REF _Ref361740164 \r \h </w:instrText>
      </w:r>
      <w:r w:rsidR="007C1B88" w:rsidRPr="00436976">
        <w:rPr>
          <w:lang w:val="en-GB"/>
        </w:rPr>
      </w:r>
      <w:r w:rsidR="007C1B88" w:rsidRPr="00436976">
        <w:rPr>
          <w:lang w:val="en-GB"/>
        </w:rPr>
        <w:fldChar w:fldCharType="separate"/>
      </w:r>
      <w:r w:rsidR="000E5CB5" w:rsidRPr="00436976">
        <w:rPr>
          <w:lang w:val="en-GB"/>
        </w:rPr>
        <w:t>39</w:t>
      </w:r>
      <w:r w:rsidR="007C1B88" w:rsidRPr="00436976">
        <w:rPr>
          <w:lang w:val="en-GB"/>
        </w:rPr>
        <w:fldChar w:fldCharType="end"/>
      </w:r>
      <w:r w:rsidRPr="00436976">
        <w:rPr>
          <w:lang w:val="en-GB"/>
        </w:rPr>
        <w:t xml:space="preserve"> above, at § 136).</w:t>
      </w:r>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bookmarkStart w:id="26" w:name="_Ref358368868"/>
      <w:r w:rsidRPr="00436976">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436976">
        <w:rPr>
          <w:i/>
          <w:lang w:val="en-GB"/>
        </w:rPr>
        <w:t>Ahmet Özkan and Others v. Turkey</w:t>
      </w:r>
      <w:r w:rsidRPr="00436976">
        <w:rPr>
          <w:lang w:val="en-GB"/>
        </w:rPr>
        <w:t xml:space="preserve">, no. 21689/93, judgment of 6 April 2004, § 310, see also ECtHR, </w:t>
      </w:r>
      <w:r w:rsidRPr="00436976">
        <w:rPr>
          <w:i/>
          <w:lang w:val="en-GB"/>
        </w:rPr>
        <w:t>Isayeva v. Russia</w:t>
      </w:r>
      <w:r w:rsidRPr="00436976">
        <w:rPr>
          <w:lang w:val="en-GB"/>
        </w:rPr>
        <w:t>, no. 57950/00, judgment of 24 February 2005, § 210).</w:t>
      </w:r>
      <w:bookmarkEnd w:id="26"/>
      <w:r w:rsidRPr="00436976">
        <w:rPr>
          <w:lang w:val="en-GB"/>
        </w:rPr>
        <w:t xml:space="preserve"> </w:t>
      </w:r>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bookmarkStart w:id="27" w:name="_Ref358368767"/>
      <w:r w:rsidRPr="00436976">
        <w:rPr>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436976">
        <w:rPr>
          <w:i/>
          <w:lang w:val="en-GB"/>
        </w:rPr>
        <w:t>, Varnava and Others v. Turkey</w:t>
      </w:r>
      <w:r w:rsidRPr="00436976">
        <w:rPr>
          <w:lang w:val="en-GB"/>
        </w:rPr>
        <w:t>, cited above</w:t>
      </w:r>
      <w:r w:rsidR="00A35BE4" w:rsidRPr="00436976">
        <w:rPr>
          <w:lang w:val="en-GB"/>
        </w:rPr>
        <w:t>,</w:t>
      </w:r>
      <w:r w:rsidRPr="00436976">
        <w:rPr>
          <w:lang w:val="en-GB"/>
        </w:rPr>
        <w:t xml:space="preserve"> § </w:t>
      </w:r>
      <w:r w:rsidR="007C1B88" w:rsidRPr="00436976">
        <w:rPr>
          <w:lang w:val="en-GB"/>
        </w:rPr>
        <w:fldChar w:fldCharType="begin"/>
      </w:r>
      <w:r w:rsidR="002C3F36" w:rsidRPr="00436976">
        <w:rPr>
          <w:lang w:val="en-GB"/>
        </w:rPr>
        <w:instrText xml:space="preserve"> REF _Ref361740164 \r \h </w:instrText>
      </w:r>
      <w:r w:rsidR="007C1B88" w:rsidRPr="00436976">
        <w:rPr>
          <w:lang w:val="en-GB"/>
        </w:rPr>
      </w:r>
      <w:r w:rsidR="007C1B88" w:rsidRPr="00436976">
        <w:rPr>
          <w:lang w:val="en-GB"/>
        </w:rPr>
        <w:fldChar w:fldCharType="separate"/>
      </w:r>
      <w:r w:rsidR="000E5CB5" w:rsidRPr="00436976">
        <w:rPr>
          <w:lang w:val="en-GB"/>
        </w:rPr>
        <w:t>39</w:t>
      </w:r>
      <w:r w:rsidR="007C1B88" w:rsidRPr="00436976">
        <w:rPr>
          <w:lang w:val="en-GB"/>
        </w:rPr>
        <w:fldChar w:fldCharType="end"/>
      </w:r>
      <w:r w:rsidR="00A35BE4" w:rsidRPr="00436976">
        <w:rPr>
          <w:lang w:val="en-GB"/>
        </w:rPr>
        <w:t>;</w:t>
      </w:r>
      <w:r w:rsidRPr="00436976">
        <w:rPr>
          <w:lang w:val="en-GB"/>
        </w:rPr>
        <w:t xml:space="preserve"> see also ECtHR, </w:t>
      </w:r>
      <w:r w:rsidRPr="00436976">
        <w:rPr>
          <w:i/>
          <w:lang w:val="en-GB"/>
        </w:rPr>
        <w:t>Palić v. Bosnia and Herzegovina</w:t>
      </w:r>
      <w:r w:rsidRPr="00436976">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436976">
        <w:rPr>
          <w:i/>
          <w:lang w:val="en-GB"/>
        </w:rPr>
        <w:t>Ahmet Özkan and Others v. Turkey</w:t>
      </w:r>
      <w:r w:rsidRPr="00436976">
        <w:rPr>
          <w:lang w:val="en-GB"/>
        </w:rPr>
        <w:t xml:space="preserve">, cited in § </w:t>
      </w:r>
      <w:r w:rsidR="007C1B88" w:rsidRPr="00436976">
        <w:rPr>
          <w:lang w:val="en-GB"/>
        </w:rPr>
        <w:fldChar w:fldCharType="begin"/>
      </w:r>
      <w:r w:rsidRPr="00436976">
        <w:rPr>
          <w:lang w:val="en-GB"/>
        </w:rPr>
        <w:instrText xml:space="preserve"> REF _Ref358368868 \r \h </w:instrText>
      </w:r>
      <w:r w:rsidR="007C1B88" w:rsidRPr="00436976">
        <w:rPr>
          <w:lang w:val="en-GB"/>
        </w:rPr>
      </w:r>
      <w:r w:rsidR="007C1B88" w:rsidRPr="00436976">
        <w:rPr>
          <w:lang w:val="en-GB"/>
        </w:rPr>
        <w:fldChar w:fldCharType="separate"/>
      </w:r>
      <w:r w:rsidR="000A1CAA" w:rsidRPr="00436976">
        <w:rPr>
          <w:lang w:val="en-GB"/>
        </w:rPr>
        <w:t>61</w:t>
      </w:r>
      <w:r w:rsidR="007C1B88" w:rsidRPr="00436976">
        <w:rPr>
          <w:lang w:val="en-GB"/>
        </w:rPr>
        <w:fldChar w:fldCharType="end"/>
      </w:r>
      <w:r w:rsidRPr="00436976">
        <w:rPr>
          <w:lang w:val="en-GB"/>
        </w:rPr>
        <w:t xml:space="preserve"> above, at § 312, and</w:t>
      </w:r>
      <w:r w:rsidRPr="00436976">
        <w:rPr>
          <w:i/>
          <w:lang w:val="en-GB"/>
        </w:rPr>
        <w:t xml:space="preserve"> Isayeva v. Russia</w:t>
      </w:r>
      <w:r w:rsidRPr="00436976">
        <w:rPr>
          <w:lang w:val="en-GB"/>
        </w:rPr>
        <w:t xml:space="preserve">, cited in § </w:t>
      </w:r>
      <w:r w:rsidR="007C1B88" w:rsidRPr="00436976">
        <w:rPr>
          <w:lang w:val="en-GB"/>
        </w:rPr>
        <w:fldChar w:fldCharType="begin"/>
      </w:r>
      <w:r w:rsidRPr="00436976">
        <w:rPr>
          <w:lang w:val="en-GB"/>
        </w:rPr>
        <w:instrText xml:space="preserve"> REF _Ref358368868 \r \h </w:instrText>
      </w:r>
      <w:r w:rsidR="007C1B88" w:rsidRPr="00436976">
        <w:rPr>
          <w:lang w:val="en-GB"/>
        </w:rPr>
      </w:r>
      <w:r w:rsidR="007C1B88" w:rsidRPr="00436976">
        <w:rPr>
          <w:lang w:val="en-GB"/>
        </w:rPr>
        <w:fldChar w:fldCharType="separate"/>
      </w:r>
      <w:r w:rsidR="000E5CB5" w:rsidRPr="00436976">
        <w:rPr>
          <w:lang w:val="en-GB"/>
        </w:rPr>
        <w:t>61</w:t>
      </w:r>
      <w:r w:rsidR="007C1B88" w:rsidRPr="00436976">
        <w:rPr>
          <w:lang w:val="en-GB"/>
        </w:rPr>
        <w:fldChar w:fldCharType="end"/>
      </w:r>
      <w:r w:rsidRPr="00436976">
        <w:rPr>
          <w:lang w:val="en-GB"/>
        </w:rPr>
        <w:t xml:space="preserve"> above, at § 212).</w:t>
      </w:r>
      <w:bookmarkEnd w:id="27"/>
      <w:r w:rsidRPr="00436976">
        <w:rPr>
          <w:lang w:val="en-GB"/>
        </w:rPr>
        <w:t xml:space="preserve"> </w:t>
      </w:r>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r w:rsidRPr="00436976">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436976">
        <w:rPr>
          <w:i/>
          <w:lang w:val="en-GB"/>
        </w:rPr>
        <w:t>Kolevi v. Bulgaria</w:t>
      </w:r>
      <w:r w:rsidRPr="00436976">
        <w:rPr>
          <w:lang w:val="en-GB"/>
        </w:rPr>
        <w:t xml:space="preserve">, cited in § </w:t>
      </w:r>
      <w:r w:rsidR="007C1B88" w:rsidRPr="00436976">
        <w:rPr>
          <w:lang w:val="en-GB"/>
        </w:rPr>
        <w:fldChar w:fldCharType="begin"/>
      </w:r>
      <w:r w:rsidRPr="00436976">
        <w:rPr>
          <w:lang w:val="en-GB"/>
        </w:rPr>
        <w:instrText xml:space="preserve"> REF _Ref358368938 \r \h </w:instrText>
      </w:r>
      <w:r w:rsidR="007C1B88" w:rsidRPr="00436976">
        <w:rPr>
          <w:lang w:val="en-GB"/>
        </w:rPr>
      </w:r>
      <w:r w:rsidR="007C1B88" w:rsidRPr="00436976">
        <w:rPr>
          <w:lang w:val="en-GB"/>
        </w:rPr>
        <w:fldChar w:fldCharType="separate"/>
      </w:r>
      <w:r w:rsidR="000E5CB5" w:rsidRPr="00436976">
        <w:rPr>
          <w:lang w:val="en-GB"/>
        </w:rPr>
        <w:t>59</w:t>
      </w:r>
      <w:r w:rsidR="007C1B88" w:rsidRPr="00436976">
        <w:rPr>
          <w:lang w:val="en-GB"/>
        </w:rPr>
        <w:fldChar w:fldCharType="end"/>
      </w:r>
      <w:r w:rsidRPr="00436976">
        <w:rPr>
          <w:lang w:val="en-GB"/>
        </w:rPr>
        <w:t xml:space="preserve"> above,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ECtHR, </w:t>
      </w:r>
      <w:r w:rsidRPr="00436976">
        <w:rPr>
          <w:i/>
          <w:lang w:val="en-GB"/>
        </w:rPr>
        <w:t>Velcea and Mazăre</w:t>
      </w:r>
      <w:r w:rsidRPr="00436976">
        <w:rPr>
          <w:lang w:val="en-GB"/>
        </w:rPr>
        <w:t xml:space="preserve"> </w:t>
      </w:r>
      <w:r w:rsidRPr="00436976">
        <w:rPr>
          <w:i/>
          <w:lang w:val="en-GB"/>
        </w:rPr>
        <w:t>v. Romania</w:t>
      </w:r>
      <w:r w:rsidRPr="00436976">
        <w:rPr>
          <w:lang w:val="en-GB"/>
        </w:rPr>
        <w:t xml:space="preserve">, no. 64301/01, judgment of 1 December 2009, § 105). </w:t>
      </w:r>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bookmarkStart w:id="28" w:name="_Ref361754872"/>
      <w:r w:rsidRPr="00436976">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436976">
        <w:rPr>
          <w:i/>
          <w:lang w:val="en-GB"/>
        </w:rPr>
        <w:t>Palić v. Bosnia and Herzegovina</w:t>
      </w:r>
      <w:r w:rsidRPr="00436976">
        <w:rPr>
          <w:lang w:val="en-GB"/>
        </w:rPr>
        <w:t xml:space="preserve">, cited in § </w:t>
      </w:r>
      <w:r w:rsidR="007C1B88" w:rsidRPr="00436976">
        <w:rPr>
          <w:lang w:val="en-GB"/>
        </w:rPr>
        <w:fldChar w:fldCharType="begin"/>
      </w:r>
      <w:r w:rsidR="002C3F36" w:rsidRPr="00436976">
        <w:rPr>
          <w:lang w:val="en-GB"/>
        </w:rPr>
        <w:instrText xml:space="preserve"> REF _Ref358368767 \r \h </w:instrText>
      </w:r>
      <w:r w:rsidR="007C1B88" w:rsidRPr="00436976">
        <w:rPr>
          <w:lang w:val="en-GB"/>
        </w:rPr>
      </w:r>
      <w:r w:rsidR="007C1B88" w:rsidRPr="00436976">
        <w:rPr>
          <w:lang w:val="en-GB"/>
        </w:rPr>
        <w:fldChar w:fldCharType="separate"/>
      </w:r>
      <w:r w:rsidR="000E5CB5" w:rsidRPr="00436976">
        <w:rPr>
          <w:lang w:val="en-GB"/>
        </w:rPr>
        <w:t>62</w:t>
      </w:r>
      <w:r w:rsidR="007C1B88" w:rsidRPr="00436976">
        <w:rPr>
          <w:lang w:val="en-GB"/>
        </w:rPr>
        <w:fldChar w:fldCharType="end"/>
      </w:r>
      <w:r w:rsidRPr="00436976">
        <w:rPr>
          <w:lang w:val="en-GB"/>
        </w:rPr>
        <w:t xml:space="preserve"> above, at § 46; in the same sense ECtHR [GC], </w:t>
      </w:r>
      <w:r w:rsidRPr="00436976">
        <w:rPr>
          <w:i/>
          <w:lang w:val="en-GB"/>
        </w:rPr>
        <w:t>Varnava and Others v. Turkey</w:t>
      </w:r>
      <w:r w:rsidRPr="00436976">
        <w:rPr>
          <w:lang w:val="en-GB"/>
        </w:rPr>
        <w:t xml:space="preserve">, cited in § </w:t>
      </w:r>
      <w:r w:rsidR="007C1B88" w:rsidRPr="00436976">
        <w:rPr>
          <w:lang w:val="en-GB"/>
        </w:rPr>
        <w:fldChar w:fldCharType="begin"/>
      </w:r>
      <w:r w:rsidR="002C3F36" w:rsidRPr="00436976">
        <w:rPr>
          <w:lang w:val="en-GB"/>
        </w:rPr>
        <w:instrText xml:space="preserve"> REF _Ref361740164 \r \h </w:instrText>
      </w:r>
      <w:r w:rsidR="007C1B88" w:rsidRPr="00436976">
        <w:rPr>
          <w:lang w:val="en-GB"/>
        </w:rPr>
      </w:r>
      <w:r w:rsidR="007C1B88" w:rsidRPr="00436976">
        <w:rPr>
          <w:lang w:val="en-GB"/>
        </w:rPr>
        <w:fldChar w:fldCharType="separate"/>
      </w:r>
      <w:r w:rsidR="000E5CB5" w:rsidRPr="00436976">
        <w:rPr>
          <w:lang w:val="en-GB"/>
        </w:rPr>
        <w:t>39</w:t>
      </w:r>
      <w:r w:rsidR="007C1B88" w:rsidRPr="00436976">
        <w:rPr>
          <w:lang w:val="en-GB"/>
        </w:rPr>
        <w:fldChar w:fldCharType="end"/>
      </w:r>
      <w:r w:rsidRPr="00436976">
        <w:rPr>
          <w:lang w:val="en-GB"/>
        </w:rPr>
        <w:t xml:space="preserve"> above, at § 148, </w:t>
      </w:r>
      <w:r w:rsidRPr="00436976">
        <w:rPr>
          <w:i/>
          <w:lang w:val="en-GB"/>
        </w:rPr>
        <w:t>Aslakhanova and Others v. Russia</w:t>
      </w:r>
      <w:r w:rsidRPr="00436976">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436976">
        <w:rPr>
          <w:i/>
          <w:lang w:val="en-GB"/>
        </w:rPr>
        <w:t>Palić v. Bosnia and Herzegovina</w:t>
      </w:r>
      <w:r w:rsidRPr="00436976">
        <w:rPr>
          <w:lang w:val="en-GB"/>
        </w:rPr>
        <w:t xml:space="preserve">, cited above, at § </w:t>
      </w:r>
      <w:r w:rsidR="007C1B88" w:rsidRPr="00436976">
        <w:rPr>
          <w:lang w:val="en-GB"/>
        </w:rPr>
        <w:fldChar w:fldCharType="begin"/>
      </w:r>
      <w:r w:rsidRPr="00436976">
        <w:rPr>
          <w:lang w:val="en-GB"/>
        </w:rPr>
        <w:instrText xml:space="preserve"> REF _Ref358368767 \r \h </w:instrText>
      </w:r>
      <w:r w:rsidR="007C1B88" w:rsidRPr="00436976">
        <w:rPr>
          <w:lang w:val="en-GB"/>
        </w:rPr>
      </w:r>
      <w:r w:rsidR="007C1B88" w:rsidRPr="00436976">
        <w:rPr>
          <w:lang w:val="en-GB"/>
        </w:rPr>
        <w:fldChar w:fldCharType="separate"/>
      </w:r>
      <w:r w:rsidR="000E5CB5" w:rsidRPr="00436976">
        <w:rPr>
          <w:lang w:val="en-GB"/>
        </w:rPr>
        <w:t>62</w:t>
      </w:r>
      <w:r w:rsidR="007C1B88" w:rsidRPr="00436976">
        <w:rPr>
          <w:lang w:val="en-GB"/>
        </w:rPr>
        <w:fldChar w:fldCharType="end"/>
      </w:r>
      <w:r w:rsidRPr="00436976">
        <w:rPr>
          <w:lang w:val="en-GB"/>
        </w:rPr>
        <w:t xml:space="preserve">; in the same sense ECtHR [GC], </w:t>
      </w:r>
      <w:r w:rsidRPr="00436976">
        <w:rPr>
          <w:i/>
          <w:lang w:val="en-GB"/>
        </w:rPr>
        <w:t>Varnava and Others v. Turkey</w:t>
      </w:r>
      <w:r w:rsidRPr="00436976">
        <w:rPr>
          <w:lang w:val="en-GB"/>
        </w:rPr>
        <w:t xml:space="preserve">, cited in § </w:t>
      </w:r>
      <w:r w:rsidR="007C1B88" w:rsidRPr="00436976">
        <w:rPr>
          <w:lang w:val="en-GB"/>
        </w:rPr>
        <w:fldChar w:fldCharType="begin"/>
      </w:r>
      <w:r w:rsidR="00A35BE4" w:rsidRPr="00436976">
        <w:rPr>
          <w:lang w:val="en-GB"/>
        </w:rPr>
        <w:instrText xml:space="preserve"> REF _Ref361740164 \r \h </w:instrText>
      </w:r>
      <w:r w:rsidR="007C1B88" w:rsidRPr="00436976">
        <w:rPr>
          <w:lang w:val="en-GB"/>
        </w:rPr>
      </w:r>
      <w:r w:rsidR="007C1B88" w:rsidRPr="00436976">
        <w:rPr>
          <w:lang w:val="en-GB"/>
        </w:rPr>
        <w:fldChar w:fldCharType="separate"/>
      </w:r>
      <w:r w:rsidR="000E5CB5" w:rsidRPr="00436976">
        <w:rPr>
          <w:lang w:val="en-GB"/>
        </w:rPr>
        <w:t>39</w:t>
      </w:r>
      <w:r w:rsidR="007C1B88" w:rsidRPr="00436976">
        <w:rPr>
          <w:lang w:val="en-GB"/>
        </w:rPr>
        <w:fldChar w:fldCharType="end"/>
      </w:r>
      <w:r w:rsidRPr="00436976">
        <w:rPr>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436976">
        <w:rPr>
          <w:i/>
          <w:lang w:val="en-GB"/>
        </w:rPr>
        <w:t>Palić v. Bosnia and Herzegovina</w:t>
      </w:r>
      <w:r w:rsidRPr="00436976">
        <w:rPr>
          <w:lang w:val="en-GB"/>
        </w:rPr>
        <w:t xml:space="preserve">, cited in § </w:t>
      </w:r>
      <w:r w:rsidR="007C1B88" w:rsidRPr="00436976">
        <w:rPr>
          <w:lang w:val="en-GB"/>
        </w:rPr>
        <w:fldChar w:fldCharType="begin"/>
      </w:r>
      <w:r w:rsidRPr="00436976">
        <w:rPr>
          <w:lang w:val="en-GB"/>
        </w:rPr>
        <w:instrText xml:space="preserve"> REF _Ref358368767 \r \h </w:instrText>
      </w:r>
      <w:r w:rsidR="007C1B88" w:rsidRPr="00436976">
        <w:rPr>
          <w:lang w:val="en-GB"/>
        </w:rPr>
      </w:r>
      <w:r w:rsidR="007C1B88" w:rsidRPr="00436976">
        <w:rPr>
          <w:lang w:val="en-GB"/>
        </w:rPr>
        <w:fldChar w:fldCharType="separate"/>
      </w:r>
      <w:r w:rsidR="000E5CB5" w:rsidRPr="00436976">
        <w:rPr>
          <w:lang w:val="en-GB"/>
        </w:rPr>
        <w:t>62</w:t>
      </w:r>
      <w:r w:rsidR="007C1B88" w:rsidRPr="00436976">
        <w:rPr>
          <w:lang w:val="en-GB"/>
        </w:rPr>
        <w:fldChar w:fldCharType="end"/>
      </w:r>
      <w:r w:rsidRPr="00436976">
        <w:rPr>
          <w:lang w:val="en-GB"/>
        </w:rPr>
        <w:t xml:space="preserve"> above, at § 64).</w:t>
      </w:r>
      <w:bookmarkEnd w:id="28"/>
    </w:p>
    <w:p w:rsidR="00F3555A" w:rsidRPr="00436976" w:rsidRDefault="00F3555A" w:rsidP="00F3555A">
      <w:pPr>
        <w:suppressAutoHyphens/>
        <w:autoSpaceDE w:val="0"/>
        <w:ind w:left="360"/>
        <w:jc w:val="both"/>
        <w:rPr>
          <w:bCs/>
          <w:lang w:val="en-GB"/>
        </w:rPr>
      </w:pPr>
    </w:p>
    <w:p w:rsidR="00F3555A" w:rsidRPr="00436976" w:rsidRDefault="00F3555A" w:rsidP="00E63CC3">
      <w:pPr>
        <w:numPr>
          <w:ilvl w:val="0"/>
          <w:numId w:val="2"/>
        </w:numPr>
        <w:tabs>
          <w:tab w:val="left" w:pos="360"/>
        </w:tabs>
        <w:suppressAutoHyphens/>
        <w:autoSpaceDE w:val="0"/>
        <w:jc w:val="both"/>
        <w:rPr>
          <w:bCs/>
          <w:lang w:val="en-GB"/>
        </w:rPr>
      </w:pPr>
      <w:bookmarkStart w:id="29" w:name="_Ref358368789"/>
      <w:r w:rsidRPr="00436976">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Pr="00436976">
        <w:rPr>
          <w:i/>
          <w:lang w:val="en-GB"/>
        </w:rPr>
        <w:t>Ahmet Özkan and Others v. Turkey</w:t>
      </w:r>
      <w:r w:rsidRPr="00436976">
        <w:rPr>
          <w:lang w:val="en-GB"/>
        </w:rPr>
        <w:t xml:space="preserve">, cited in § </w:t>
      </w:r>
      <w:r w:rsidR="007C1B88" w:rsidRPr="00436976">
        <w:rPr>
          <w:lang w:val="en-GB"/>
        </w:rPr>
        <w:fldChar w:fldCharType="begin"/>
      </w:r>
      <w:r w:rsidRPr="00436976">
        <w:rPr>
          <w:lang w:val="en-GB"/>
        </w:rPr>
        <w:instrText xml:space="preserve"> REF _Ref358368767 \r \h </w:instrText>
      </w:r>
      <w:r w:rsidR="007C1B88" w:rsidRPr="00436976">
        <w:rPr>
          <w:lang w:val="en-GB"/>
        </w:rPr>
      </w:r>
      <w:r w:rsidR="007C1B88" w:rsidRPr="00436976">
        <w:rPr>
          <w:lang w:val="en-GB"/>
        </w:rPr>
        <w:fldChar w:fldCharType="separate"/>
      </w:r>
      <w:r w:rsidR="000A1CAA" w:rsidRPr="00436976">
        <w:rPr>
          <w:lang w:val="en-GB"/>
        </w:rPr>
        <w:t>62</w:t>
      </w:r>
      <w:r w:rsidR="007C1B88" w:rsidRPr="00436976">
        <w:rPr>
          <w:lang w:val="en-GB"/>
        </w:rPr>
        <w:fldChar w:fldCharType="end"/>
      </w:r>
      <w:r w:rsidRPr="00436976">
        <w:rPr>
          <w:lang w:val="en-GB"/>
        </w:rPr>
        <w:t xml:space="preserve"> above, at §§ 311</w:t>
      </w:r>
      <w:r w:rsidRPr="00436976">
        <w:rPr>
          <w:lang w:val="en-GB"/>
        </w:rPr>
        <w:noBreakHyphen/>
        <w:t xml:space="preserve">314; </w:t>
      </w:r>
      <w:r w:rsidRPr="00436976">
        <w:rPr>
          <w:i/>
          <w:lang w:val="en-GB"/>
        </w:rPr>
        <w:t>Isayeva v. Russia</w:t>
      </w:r>
      <w:r w:rsidRPr="00436976">
        <w:rPr>
          <w:lang w:val="en-GB"/>
        </w:rPr>
        <w:t xml:space="preserve">, cited in § </w:t>
      </w:r>
      <w:r w:rsidR="007C1B88" w:rsidRPr="00436976">
        <w:rPr>
          <w:lang w:val="en-GB"/>
        </w:rPr>
        <w:fldChar w:fldCharType="begin"/>
      </w:r>
      <w:r w:rsidRPr="00436976">
        <w:rPr>
          <w:lang w:val="en-GB"/>
        </w:rPr>
        <w:instrText xml:space="preserve"> REF _Ref358368868 \r \h </w:instrText>
      </w:r>
      <w:r w:rsidR="007C1B88" w:rsidRPr="00436976">
        <w:rPr>
          <w:lang w:val="en-GB"/>
        </w:rPr>
      </w:r>
      <w:r w:rsidR="007C1B88" w:rsidRPr="00436976">
        <w:rPr>
          <w:lang w:val="en-GB"/>
        </w:rPr>
        <w:fldChar w:fldCharType="separate"/>
      </w:r>
      <w:r w:rsidR="000A1CAA" w:rsidRPr="00436976">
        <w:rPr>
          <w:lang w:val="en-GB"/>
        </w:rPr>
        <w:t>61</w:t>
      </w:r>
      <w:r w:rsidR="007C1B88" w:rsidRPr="00436976">
        <w:rPr>
          <w:lang w:val="en-GB"/>
        </w:rPr>
        <w:fldChar w:fldCharType="end"/>
      </w:r>
      <w:r w:rsidRPr="00436976">
        <w:rPr>
          <w:lang w:val="en-GB"/>
        </w:rPr>
        <w:t xml:space="preserve"> above, §§ 211-214 and the cases cited therein).” ECtHR [GC], </w:t>
      </w:r>
      <w:r w:rsidRPr="00436976">
        <w:rPr>
          <w:i/>
          <w:lang w:val="en-GB"/>
        </w:rPr>
        <w:t>Al-Skeini and Others v. United Kingdom</w:t>
      </w:r>
      <w:r w:rsidRPr="00436976">
        <w:rPr>
          <w:lang w:val="en-GB"/>
        </w:rPr>
        <w:t>, no. 55721/07, judgment of 7 July 2011, § 167, ECHR 2011).</w:t>
      </w:r>
      <w:bookmarkEnd w:id="29"/>
    </w:p>
    <w:p w:rsidR="00F3555A" w:rsidRPr="00436976" w:rsidRDefault="00F3555A" w:rsidP="00F3555A">
      <w:pPr>
        <w:tabs>
          <w:tab w:val="left" w:pos="360"/>
        </w:tabs>
        <w:suppressAutoHyphens/>
        <w:ind w:left="360" w:hanging="360"/>
        <w:jc w:val="both"/>
        <w:rPr>
          <w:b/>
          <w:i/>
          <w:lang w:val="en-GB"/>
        </w:rPr>
      </w:pPr>
    </w:p>
    <w:p w:rsidR="00F3555A" w:rsidRPr="00436976" w:rsidRDefault="00F3555A" w:rsidP="00E63CC3">
      <w:pPr>
        <w:pStyle w:val="ListParagraph"/>
        <w:numPr>
          <w:ilvl w:val="0"/>
          <w:numId w:val="6"/>
        </w:numPr>
        <w:tabs>
          <w:tab w:val="left" w:pos="360"/>
        </w:tabs>
        <w:suppressAutoHyphens w:val="0"/>
        <w:ind w:left="360"/>
        <w:contextualSpacing/>
        <w:jc w:val="both"/>
        <w:rPr>
          <w:i/>
          <w:color w:val="000000"/>
          <w:lang w:val="en-GB" w:eastAsia="en-US"/>
        </w:rPr>
      </w:pPr>
      <w:r w:rsidRPr="00436976">
        <w:rPr>
          <w:i/>
          <w:color w:val="000000"/>
          <w:lang w:val="en-GB" w:eastAsia="en-US"/>
        </w:rPr>
        <w:t xml:space="preserve">Applicability of Article 2 to the Kosovo context </w:t>
      </w:r>
    </w:p>
    <w:p w:rsidR="00F3555A" w:rsidRPr="00436976" w:rsidRDefault="00F3555A" w:rsidP="00F3555A">
      <w:pPr>
        <w:tabs>
          <w:tab w:val="left" w:pos="360"/>
        </w:tabs>
        <w:suppressAutoHyphens/>
        <w:ind w:left="360" w:hanging="360"/>
        <w:jc w:val="both"/>
        <w:rPr>
          <w:b/>
          <w:i/>
          <w:lang w:val="en-GB"/>
        </w:rPr>
      </w:pPr>
    </w:p>
    <w:p w:rsidR="00F3555A" w:rsidRPr="00436976" w:rsidRDefault="00F3555A" w:rsidP="00E63CC3">
      <w:pPr>
        <w:pStyle w:val="ListParagraph"/>
        <w:numPr>
          <w:ilvl w:val="0"/>
          <w:numId w:val="2"/>
        </w:numPr>
        <w:tabs>
          <w:tab w:val="left" w:pos="360"/>
        </w:tabs>
        <w:suppressAutoHyphens w:val="0"/>
        <w:contextualSpacing/>
        <w:jc w:val="both"/>
        <w:rPr>
          <w:color w:val="000000"/>
          <w:lang w:val="en-GB" w:eastAsia="en-US"/>
        </w:rPr>
      </w:pPr>
      <w:r w:rsidRPr="00436976">
        <w:rPr>
          <w:color w:val="000000"/>
          <w:lang w:val="en-GB" w:eastAsia="en-US"/>
        </w:rPr>
        <w:t xml:space="preserve">The Panel is conscious that the </w:t>
      </w:r>
      <w:r w:rsidRPr="00436976">
        <w:rPr>
          <w:lang w:val="en-GB" w:eastAsia="en-US"/>
        </w:rPr>
        <w:t>abduction</w:t>
      </w:r>
      <w:r w:rsidR="00E110C7" w:rsidRPr="00436976">
        <w:rPr>
          <w:lang w:val="en-GB" w:eastAsia="en-US"/>
        </w:rPr>
        <w:t>s</w:t>
      </w:r>
      <w:r w:rsidR="00DC3D6A" w:rsidRPr="00436976">
        <w:rPr>
          <w:lang w:val="en-GB" w:eastAsia="en-US"/>
        </w:rPr>
        <w:t xml:space="preserve"> of</w:t>
      </w:r>
      <w:r w:rsidRPr="00436976">
        <w:rPr>
          <w:lang w:val="en-GB" w:eastAsia="en-US"/>
        </w:rPr>
        <w:t xml:space="preserve"> </w:t>
      </w:r>
      <w:r w:rsidR="00E110C7" w:rsidRPr="00436976">
        <w:rPr>
          <w:lang w:val="en-GB"/>
        </w:rPr>
        <w:t xml:space="preserve">Mr Ivan Majstorović and Mr Dragan Stevanović </w:t>
      </w:r>
      <w:r w:rsidRPr="00436976">
        <w:rPr>
          <w:lang w:val="en-GB"/>
        </w:rPr>
        <w:t xml:space="preserve">occurred shortly after the deployment of UNMIK in Kosovo in the immediate aftermath of the armed conflict, when crime, violence and insecurity were rife. </w:t>
      </w:r>
    </w:p>
    <w:p w:rsidR="00F3555A" w:rsidRPr="00436976" w:rsidRDefault="00F3555A" w:rsidP="00F3555A">
      <w:pPr>
        <w:pStyle w:val="ListParagraph"/>
        <w:tabs>
          <w:tab w:val="left" w:pos="360"/>
        </w:tabs>
        <w:ind w:left="360" w:hanging="360"/>
        <w:jc w:val="both"/>
        <w:rPr>
          <w:color w:val="000000"/>
          <w:lang w:val="en-GB" w:eastAsia="en-US"/>
        </w:rPr>
      </w:pPr>
    </w:p>
    <w:p w:rsidR="00F3555A" w:rsidRPr="00436976" w:rsidRDefault="00A35BE4" w:rsidP="00E63CC3">
      <w:pPr>
        <w:pStyle w:val="ListParagraph"/>
        <w:numPr>
          <w:ilvl w:val="0"/>
          <w:numId w:val="2"/>
        </w:numPr>
        <w:tabs>
          <w:tab w:val="left" w:pos="360"/>
        </w:tabs>
        <w:suppressAutoHyphens w:val="0"/>
        <w:contextualSpacing/>
        <w:jc w:val="both"/>
        <w:rPr>
          <w:color w:val="000000"/>
          <w:lang w:val="en-GB" w:eastAsia="en-US"/>
        </w:rPr>
      </w:pPr>
      <w:r w:rsidRPr="00436976">
        <w:rPr>
          <w:lang w:val="en-GB"/>
        </w:rPr>
        <w:t>For</w:t>
      </w:r>
      <w:r w:rsidR="00F3555A" w:rsidRPr="00436976">
        <w:rPr>
          <w:lang w:val="en-GB"/>
        </w:rPr>
        <w:t xml:space="preserve"> his part, the SRSG does not contest that UNMIK had a duty to investigate the present case under Article 2 of the ECHR.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F3555A" w:rsidRPr="00436976" w:rsidRDefault="00F3555A" w:rsidP="00F3555A">
      <w:pPr>
        <w:pStyle w:val="ListParagraph"/>
        <w:tabs>
          <w:tab w:val="left" w:pos="360"/>
        </w:tabs>
        <w:ind w:left="360" w:hanging="360"/>
        <w:rPr>
          <w:color w:val="000000"/>
          <w:lang w:val="en-GB" w:eastAsia="en-US"/>
        </w:rPr>
      </w:pPr>
    </w:p>
    <w:p w:rsidR="00F3555A" w:rsidRPr="00436976" w:rsidRDefault="00F3555A" w:rsidP="00E63CC3">
      <w:pPr>
        <w:pStyle w:val="ListParagraph"/>
        <w:numPr>
          <w:ilvl w:val="0"/>
          <w:numId w:val="2"/>
        </w:numPr>
        <w:tabs>
          <w:tab w:val="left" w:pos="360"/>
        </w:tabs>
        <w:suppressAutoHyphens w:val="0"/>
        <w:contextualSpacing/>
        <w:jc w:val="both"/>
        <w:rPr>
          <w:color w:val="000000"/>
          <w:lang w:val="en-GB" w:eastAsia="en-US"/>
        </w:rPr>
      </w:pPr>
      <w:r w:rsidRPr="00436976">
        <w:rPr>
          <w:color w:val="000000"/>
          <w:lang w:val="en-GB" w:eastAsia="en-US"/>
        </w:rPr>
        <w:t xml:space="preserve">The Panel </w:t>
      </w:r>
      <w:r w:rsidRPr="00436976">
        <w:rPr>
          <w:lang w:val="en-GB"/>
        </w:rPr>
        <w:t>considers</w:t>
      </w:r>
      <w:r w:rsidRPr="00436976">
        <w:rPr>
          <w:color w:val="000000"/>
          <w:lang w:val="en-GB" w:eastAsia="en-US"/>
        </w:rPr>
        <w:t xml:space="preserve"> that the SRSG’s arguments raise two main questions: first, whether the standards of Article 2 continue to apply in situation of conflict or generalised violence and, secondly, whether such standards shall be considered fully applicable to UNMIK, in particular during the first phase of its mission.</w:t>
      </w:r>
    </w:p>
    <w:p w:rsidR="00F3555A" w:rsidRPr="00436976" w:rsidRDefault="00F3555A" w:rsidP="00F3555A">
      <w:pPr>
        <w:pStyle w:val="ListParagraph"/>
        <w:tabs>
          <w:tab w:val="left" w:pos="360"/>
        </w:tabs>
        <w:ind w:left="360" w:hanging="360"/>
        <w:rPr>
          <w:color w:val="000000"/>
          <w:lang w:val="en-GB" w:eastAsia="en-US"/>
        </w:rPr>
      </w:pPr>
    </w:p>
    <w:p w:rsidR="00F3555A" w:rsidRPr="00436976" w:rsidRDefault="00F3555A" w:rsidP="00E63CC3">
      <w:pPr>
        <w:pStyle w:val="ListParagraph"/>
        <w:numPr>
          <w:ilvl w:val="0"/>
          <w:numId w:val="2"/>
        </w:numPr>
        <w:tabs>
          <w:tab w:val="left" w:pos="360"/>
        </w:tabs>
        <w:suppressAutoHyphens w:val="0"/>
        <w:contextualSpacing/>
        <w:jc w:val="both"/>
        <w:rPr>
          <w:color w:val="000000"/>
          <w:lang w:val="en-GB" w:eastAsia="en-US"/>
        </w:rPr>
      </w:pPr>
      <w:r w:rsidRPr="00436976">
        <w:rPr>
          <w:color w:val="000000"/>
          <w:lang w:val="en-GB" w:eastAsia="en-US"/>
        </w:rPr>
        <w:t xml:space="preserve">As regards the applicability of Article 2 to UNMIK, the Panel recalls </w:t>
      </w:r>
      <w:r w:rsidRPr="00436976">
        <w:rPr>
          <w:color w:val="000000"/>
          <w:lang w:val="en-GB" w:eastAsia="nl-BE"/>
        </w:rPr>
        <w:t xml:space="preserve">that with the adoption of the UNMIK Regulation No. 1999/1 on 25 July 1999 UNMIK undertook an obligation to observe internationally recognised human rights standards in exercising its </w:t>
      </w:r>
      <w:r w:rsidRPr="00436976">
        <w:rPr>
          <w:lang w:val="en-GB"/>
        </w:rPr>
        <w:t>functions</w:t>
      </w:r>
      <w:r w:rsidRPr="00436976">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436976">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436976">
        <w:rPr>
          <w:i/>
          <w:lang w:val="en-GB"/>
        </w:rPr>
        <w:t>Milogorić</w:t>
      </w:r>
      <w:r w:rsidRPr="00436976">
        <w:rPr>
          <w:lang w:val="en-GB"/>
        </w:rPr>
        <w:t xml:space="preserve"> </w:t>
      </w:r>
      <w:r w:rsidRPr="00436976">
        <w:rPr>
          <w:i/>
          <w:lang w:val="en-GB"/>
        </w:rPr>
        <w:t>and Others,</w:t>
      </w:r>
      <w:r w:rsidRPr="00436976">
        <w:rPr>
          <w:lang w:val="en-GB"/>
        </w:rPr>
        <w:t xml:space="preserve"> nos. 38/08 and others, opinion of 24 March 2011, § 44; </w:t>
      </w:r>
      <w:r w:rsidRPr="00436976">
        <w:rPr>
          <w:i/>
          <w:lang w:val="en-GB"/>
        </w:rPr>
        <w:t>Berisha and Others,</w:t>
      </w:r>
      <w:r w:rsidRPr="00436976">
        <w:rPr>
          <w:lang w:val="en-GB"/>
        </w:rPr>
        <w:t xml:space="preserve"> nos. 27/08 and others, opinion of 23 February 2011,</w:t>
      </w:r>
      <w:r w:rsidRPr="00436976">
        <w:rPr>
          <w:i/>
          <w:lang w:val="en-GB"/>
        </w:rPr>
        <w:t xml:space="preserve"> </w:t>
      </w:r>
      <w:r w:rsidRPr="00436976">
        <w:rPr>
          <w:lang w:val="en-GB"/>
        </w:rPr>
        <w:t xml:space="preserve">§ 25; </w:t>
      </w:r>
      <w:r w:rsidRPr="00436976">
        <w:rPr>
          <w:i/>
          <w:lang w:val="en-GB"/>
        </w:rPr>
        <w:t>Lalić and Others</w:t>
      </w:r>
      <w:r w:rsidRPr="00436976">
        <w:rPr>
          <w:lang w:val="en-GB"/>
        </w:rPr>
        <w:t>, nos. 09/08 and others, opinion of 9 June 2012, § 22).</w:t>
      </w:r>
    </w:p>
    <w:p w:rsidR="00F3555A" w:rsidRPr="00436976" w:rsidRDefault="00F3555A" w:rsidP="00F3555A">
      <w:pPr>
        <w:pStyle w:val="ListParagraph"/>
        <w:tabs>
          <w:tab w:val="left" w:pos="360"/>
        </w:tabs>
        <w:suppressAutoHyphens w:val="0"/>
        <w:ind w:left="360"/>
        <w:contextualSpacing/>
        <w:jc w:val="both"/>
        <w:rPr>
          <w:color w:val="000000"/>
          <w:lang w:val="en-GB" w:eastAsia="en-US"/>
        </w:rPr>
      </w:pPr>
    </w:p>
    <w:p w:rsidR="00F3555A" w:rsidRPr="00436976" w:rsidRDefault="00F3555A" w:rsidP="00E63CC3">
      <w:pPr>
        <w:pStyle w:val="ListParagraph"/>
        <w:numPr>
          <w:ilvl w:val="0"/>
          <w:numId w:val="2"/>
        </w:numPr>
        <w:tabs>
          <w:tab w:val="left" w:pos="360"/>
        </w:tabs>
        <w:suppressAutoHyphens w:val="0"/>
        <w:contextualSpacing/>
        <w:jc w:val="both"/>
        <w:rPr>
          <w:color w:val="000000"/>
          <w:lang w:val="en-GB" w:eastAsia="en-US"/>
        </w:rPr>
      </w:pPr>
      <w:r w:rsidRPr="00436976">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436976">
        <w:rPr>
          <w:color w:val="000000"/>
          <w:lang w:val="en-GB" w:eastAsia="en-US"/>
        </w:rPr>
        <w:t>Yugoslavia</w:t>
      </w:r>
      <w:r w:rsidRPr="00436976">
        <w:rPr>
          <w:lang w:val="en-GB"/>
        </w:rPr>
        <w:t xml:space="preserve"> (see, among other examples, ECtHR, </w:t>
      </w:r>
      <w:r w:rsidRPr="00436976">
        <w:rPr>
          <w:i/>
          <w:lang w:val="en-GB"/>
        </w:rPr>
        <w:t>Palić v. Bosnia and Herzegovina,</w:t>
      </w:r>
      <w:r w:rsidRPr="00436976">
        <w:rPr>
          <w:lang w:val="en-GB"/>
        </w:rPr>
        <w:t xml:space="preserve"> cited in § </w:t>
      </w:r>
      <w:r w:rsidR="007C1B88" w:rsidRPr="00436976">
        <w:rPr>
          <w:lang w:val="en-GB"/>
        </w:rPr>
        <w:fldChar w:fldCharType="begin"/>
      </w:r>
      <w:r w:rsidRPr="00436976">
        <w:rPr>
          <w:lang w:val="en-GB"/>
        </w:rPr>
        <w:instrText xml:space="preserve"> REF _Ref358368767 \r \h </w:instrText>
      </w:r>
      <w:r w:rsidR="007C1B88" w:rsidRPr="00436976">
        <w:rPr>
          <w:lang w:val="en-GB"/>
        </w:rPr>
      </w:r>
      <w:r w:rsidR="007C1B88" w:rsidRPr="00436976">
        <w:rPr>
          <w:lang w:val="en-GB"/>
        </w:rPr>
        <w:fldChar w:fldCharType="separate"/>
      </w:r>
      <w:r w:rsidR="000A1CAA" w:rsidRPr="00436976">
        <w:rPr>
          <w:lang w:val="en-GB"/>
        </w:rPr>
        <w:t>62</w:t>
      </w:r>
      <w:r w:rsidR="007C1B88" w:rsidRPr="00436976">
        <w:rPr>
          <w:lang w:val="en-GB"/>
        </w:rPr>
        <w:fldChar w:fldCharType="end"/>
      </w:r>
      <w:r w:rsidRPr="00436976">
        <w:rPr>
          <w:lang w:val="en-GB"/>
        </w:rPr>
        <w:t xml:space="preserve"> above, and ECtHR, </w:t>
      </w:r>
      <w:r w:rsidRPr="00436976">
        <w:rPr>
          <w:i/>
          <w:lang w:val="en-GB"/>
        </w:rPr>
        <w:t>Jularić v. Croatia</w:t>
      </w:r>
      <w:r w:rsidRPr="00436976">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436976">
        <w:rPr>
          <w:lang w:val="en-GB" w:eastAsia="en-US"/>
        </w:rPr>
        <w:t xml:space="preserve">ECtHR [GC], </w:t>
      </w:r>
      <w:r w:rsidRPr="00436976">
        <w:rPr>
          <w:i/>
          <w:lang w:val="en-GB" w:eastAsia="en-US"/>
        </w:rPr>
        <w:t>Al-Skeini and Others v. the United Kingdom</w:t>
      </w:r>
      <w:r w:rsidRPr="00436976">
        <w:rPr>
          <w:lang w:val="en-GB" w:eastAsia="en-US"/>
        </w:rPr>
        <w:t xml:space="preserve">, cited in § </w:t>
      </w:r>
      <w:r w:rsidR="007C1B88" w:rsidRPr="00436976">
        <w:rPr>
          <w:lang w:val="en-GB" w:eastAsia="en-US"/>
        </w:rPr>
        <w:fldChar w:fldCharType="begin"/>
      </w:r>
      <w:r w:rsidRPr="00436976">
        <w:rPr>
          <w:lang w:val="en-GB" w:eastAsia="en-US"/>
        </w:rPr>
        <w:instrText xml:space="preserve"> REF _Ref358368789 \r \h </w:instrText>
      </w:r>
      <w:r w:rsidR="007C1B88" w:rsidRPr="00436976">
        <w:rPr>
          <w:lang w:val="en-GB" w:eastAsia="en-US"/>
        </w:rPr>
      </w:r>
      <w:r w:rsidR="007C1B88" w:rsidRPr="00436976">
        <w:rPr>
          <w:lang w:val="en-GB" w:eastAsia="en-US"/>
        </w:rPr>
        <w:fldChar w:fldCharType="separate"/>
      </w:r>
      <w:r w:rsidR="000A1CAA" w:rsidRPr="00436976">
        <w:rPr>
          <w:lang w:val="en-GB" w:eastAsia="en-US"/>
        </w:rPr>
        <w:t>65</w:t>
      </w:r>
      <w:r w:rsidR="007C1B88" w:rsidRPr="00436976">
        <w:rPr>
          <w:lang w:val="en-GB" w:eastAsia="en-US"/>
        </w:rPr>
        <w:fldChar w:fldCharType="end"/>
      </w:r>
      <w:r w:rsidRPr="00436976">
        <w:rPr>
          <w:lang w:val="en-GB" w:eastAsia="en-US"/>
        </w:rPr>
        <w:t xml:space="preserve"> above, at § 164; see also ECtHR, </w:t>
      </w:r>
      <w:r w:rsidRPr="00436976">
        <w:rPr>
          <w:i/>
          <w:lang w:val="en-GB" w:eastAsia="en-US"/>
        </w:rPr>
        <w:t>Güleç v. Turkey</w:t>
      </w:r>
      <w:r w:rsidRPr="00436976">
        <w:rPr>
          <w:lang w:val="en-GB" w:eastAsia="en-US"/>
        </w:rPr>
        <w:t>, judgment of 27 July 1998, § 81,</w:t>
      </w:r>
      <w:r w:rsidRPr="00436976">
        <w:rPr>
          <w:lang w:val="en-GB"/>
        </w:rPr>
        <w:t xml:space="preserve"> Reports </w:t>
      </w:r>
      <w:r w:rsidRPr="00436976">
        <w:rPr>
          <w:lang w:val="en-GB" w:eastAsia="en-US"/>
        </w:rPr>
        <w:t>1998-IV; ECtHR,</w:t>
      </w:r>
      <w:r w:rsidRPr="00436976">
        <w:rPr>
          <w:i/>
          <w:lang w:val="en-GB" w:eastAsia="en-US"/>
        </w:rPr>
        <w:t xml:space="preserve"> Ergi v. Turkey</w:t>
      </w:r>
      <w:r w:rsidRPr="00436976">
        <w:rPr>
          <w:lang w:val="en-GB" w:eastAsia="en-US"/>
        </w:rPr>
        <w:t>, judgment of 28 July 1998, §§ 79 and 82, Reports 1998-IV; ECtHR,</w:t>
      </w:r>
      <w:r w:rsidRPr="00436976">
        <w:rPr>
          <w:i/>
          <w:lang w:val="en-GB" w:eastAsia="en-US"/>
        </w:rPr>
        <w:t xml:space="preserve"> Ahmet Özkan and Others v. Turkey</w:t>
      </w:r>
      <w:r w:rsidRPr="00436976">
        <w:rPr>
          <w:lang w:val="en-GB" w:eastAsia="en-US"/>
        </w:rPr>
        <w:t xml:space="preserve">, </w:t>
      </w:r>
      <w:r w:rsidRPr="00436976">
        <w:rPr>
          <w:lang w:val="en-GB"/>
        </w:rPr>
        <w:t xml:space="preserve">cited in § </w:t>
      </w:r>
      <w:r w:rsidR="007C1B88" w:rsidRPr="00436976">
        <w:rPr>
          <w:lang w:val="en-GB"/>
        </w:rPr>
        <w:fldChar w:fldCharType="begin"/>
      </w:r>
      <w:r w:rsidRPr="00436976">
        <w:rPr>
          <w:lang w:val="en-GB"/>
        </w:rPr>
        <w:instrText xml:space="preserve"> REF _Ref358368868 \r \h </w:instrText>
      </w:r>
      <w:r w:rsidR="007C1B88" w:rsidRPr="00436976">
        <w:rPr>
          <w:lang w:val="en-GB"/>
        </w:rPr>
      </w:r>
      <w:r w:rsidR="007C1B88" w:rsidRPr="00436976">
        <w:rPr>
          <w:lang w:val="en-GB"/>
        </w:rPr>
        <w:fldChar w:fldCharType="separate"/>
      </w:r>
      <w:r w:rsidR="000A1CAA" w:rsidRPr="00436976">
        <w:rPr>
          <w:lang w:val="en-GB"/>
        </w:rPr>
        <w:t>61</w:t>
      </w:r>
      <w:r w:rsidR="007C1B88" w:rsidRPr="00436976">
        <w:rPr>
          <w:lang w:val="en-GB"/>
        </w:rPr>
        <w:fldChar w:fldCharType="end"/>
      </w:r>
      <w:r w:rsidRPr="00436976">
        <w:rPr>
          <w:lang w:val="en-GB"/>
        </w:rPr>
        <w:t xml:space="preserve"> above, at </w:t>
      </w:r>
      <w:r w:rsidRPr="00436976">
        <w:rPr>
          <w:lang w:val="en-GB" w:eastAsia="en-US"/>
        </w:rPr>
        <w:t>§§ 85-90, 309-320 and 326-330;</w:t>
      </w:r>
      <w:r w:rsidRPr="00436976">
        <w:rPr>
          <w:i/>
          <w:lang w:val="en-GB" w:eastAsia="en-US"/>
        </w:rPr>
        <w:t xml:space="preserve"> Isayeva v. Russia</w:t>
      </w:r>
      <w:r w:rsidRPr="00436976">
        <w:rPr>
          <w:lang w:val="en-GB" w:eastAsia="en-US"/>
        </w:rPr>
        <w:t>, cited in</w:t>
      </w:r>
      <w:r w:rsidRPr="00436976">
        <w:rPr>
          <w:lang w:val="en-GB"/>
        </w:rPr>
        <w:t xml:space="preserve"> § </w:t>
      </w:r>
      <w:r w:rsidR="007C1B88" w:rsidRPr="00436976">
        <w:rPr>
          <w:lang w:val="en-GB"/>
        </w:rPr>
        <w:fldChar w:fldCharType="begin"/>
      </w:r>
      <w:r w:rsidRPr="00436976">
        <w:rPr>
          <w:lang w:val="en-GB"/>
        </w:rPr>
        <w:instrText xml:space="preserve"> REF _Ref358368868 \r \h </w:instrText>
      </w:r>
      <w:r w:rsidR="007C1B88" w:rsidRPr="00436976">
        <w:rPr>
          <w:lang w:val="en-GB"/>
        </w:rPr>
      </w:r>
      <w:r w:rsidR="007C1B88" w:rsidRPr="00436976">
        <w:rPr>
          <w:lang w:val="en-GB"/>
        </w:rPr>
        <w:fldChar w:fldCharType="separate"/>
      </w:r>
      <w:r w:rsidR="000E5CB5" w:rsidRPr="00436976">
        <w:rPr>
          <w:lang w:val="en-GB"/>
        </w:rPr>
        <w:t>61</w:t>
      </w:r>
      <w:r w:rsidR="007C1B88" w:rsidRPr="00436976">
        <w:rPr>
          <w:lang w:val="en-GB"/>
        </w:rPr>
        <w:fldChar w:fldCharType="end"/>
      </w:r>
      <w:r w:rsidRPr="00436976">
        <w:rPr>
          <w:lang w:val="en-GB"/>
        </w:rPr>
        <w:t xml:space="preserve"> above, at </w:t>
      </w:r>
      <w:r w:rsidRPr="00436976">
        <w:rPr>
          <w:lang w:val="en-GB" w:eastAsia="en-US"/>
        </w:rPr>
        <w:t xml:space="preserve">§§ 180 and 210; ECtHR, </w:t>
      </w:r>
      <w:r w:rsidRPr="00436976">
        <w:rPr>
          <w:i/>
          <w:lang w:val="en-GB" w:eastAsia="en-US"/>
        </w:rPr>
        <w:t>Kanlibaş v. Turkey</w:t>
      </w:r>
      <w:r w:rsidRPr="00436976">
        <w:rPr>
          <w:lang w:val="en-GB" w:eastAsia="en-US"/>
        </w:rPr>
        <w:t>, no. 32444/96, judgment of 8 December 2005, §§ 39-51)</w:t>
      </w:r>
      <w:r w:rsidRPr="00436976">
        <w:rPr>
          <w:lang w:val="en-GB"/>
        </w:rPr>
        <w:t xml:space="preserve">. </w:t>
      </w:r>
    </w:p>
    <w:p w:rsidR="00F3555A" w:rsidRPr="00436976" w:rsidRDefault="00F3555A" w:rsidP="00F3555A">
      <w:pPr>
        <w:pStyle w:val="ListParagraph"/>
        <w:tabs>
          <w:tab w:val="left" w:pos="360"/>
        </w:tabs>
        <w:ind w:left="360" w:hanging="360"/>
        <w:rPr>
          <w:lang w:val="en-GB"/>
        </w:rPr>
      </w:pPr>
    </w:p>
    <w:p w:rsidR="00F3555A" w:rsidRPr="00436976" w:rsidRDefault="00F3555A" w:rsidP="00E63CC3">
      <w:pPr>
        <w:pStyle w:val="ListParagraph"/>
        <w:numPr>
          <w:ilvl w:val="0"/>
          <w:numId w:val="2"/>
        </w:numPr>
        <w:tabs>
          <w:tab w:val="left" w:pos="360"/>
        </w:tabs>
        <w:suppressAutoHyphens w:val="0"/>
        <w:contextualSpacing/>
        <w:jc w:val="both"/>
        <w:rPr>
          <w:color w:val="000000"/>
          <w:lang w:val="en-GB" w:eastAsia="en-US"/>
        </w:rPr>
      </w:pPr>
      <w:bookmarkStart w:id="30" w:name="_Ref361756266"/>
      <w:r w:rsidRPr="00436976">
        <w:rPr>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w:t>
      </w:r>
      <w:r w:rsidRPr="00436976">
        <w:rPr>
          <w:lang w:val="en-GB" w:eastAsia="en-US"/>
        </w:rPr>
        <w:t xml:space="preserve">use of </w:t>
      </w:r>
      <w:r w:rsidRPr="00436976">
        <w:rPr>
          <w:lang w:val="en-GB"/>
        </w:rPr>
        <w:t xml:space="preserve">less effective measures of investigation or may cause an investigation to be delayed” (see, </w:t>
      </w:r>
      <w:r w:rsidRPr="00436976">
        <w:rPr>
          <w:lang w:val="en-GB" w:eastAsia="en-US"/>
        </w:rPr>
        <w:t xml:space="preserve">ECtHR [GC], </w:t>
      </w:r>
      <w:r w:rsidRPr="00436976">
        <w:rPr>
          <w:i/>
          <w:lang w:val="en-GB" w:eastAsia="en-US"/>
        </w:rPr>
        <w:t xml:space="preserve">Al-Skeini and Others v. the United Kingdom, </w:t>
      </w:r>
      <w:r w:rsidRPr="00436976">
        <w:rPr>
          <w:lang w:val="en-GB" w:eastAsia="en-US"/>
        </w:rPr>
        <w:t xml:space="preserve">cited in § </w:t>
      </w:r>
      <w:r w:rsidR="007C1B88" w:rsidRPr="00436976">
        <w:rPr>
          <w:lang w:val="en-GB" w:eastAsia="en-US"/>
        </w:rPr>
        <w:fldChar w:fldCharType="begin"/>
      </w:r>
      <w:r w:rsidRPr="00436976">
        <w:rPr>
          <w:lang w:val="en-GB" w:eastAsia="en-US"/>
        </w:rPr>
        <w:instrText xml:space="preserve"> REF _Ref358368789 \r \h </w:instrText>
      </w:r>
      <w:r w:rsidR="007C1B88" w:rsidRPr="00436976">
        <w:rPr>
          <w:lang w:val="en-GB" w:eastAsia="en-US"/>
        </w:rPr>
      </w:r>
      <w:r w:rsidR="007C1B88" w:rsidRPr="00436976">
        <w:rPr>
          <w:lang w:val="en-GB" w:eastAsia="en-US"/>
        </w:rPr>
        <w:fldChar w:fldCharType="separate"/>
      </w:r>
      <w:r w:rsidR="000A1CAA" w:rsidRPr="00436976">
        <w:rPr>
          <w:lang w:val="en-GB" w:eastAsia="en-US"/>
        </w:rPr>
        <w:t>65</w:t>
      </w:r>
      <w:r w:rsidR="007C1B88" w:rsidRPr="00436976">
        <w:rPr>
          <w:lang w:val="en-GB" w:eastAsia="en-US"/>
        </w:rPr>
        <w:fldChar w:fldCharType="end"/>
      </w:r>
      <w:r w:rsidRPr="00436976">
        <w:rPr>
          <w:lang w:val="en-GB" w:eastAsia="en-US"/>
        </w:rPr>
        <w:t xml:space="preserve"> above, at §164;</w:t>
      </w:r>
      <w:r w:rsidRPr="00436976">
        <w:rPr>
          <w:i/>
          <w:lang w:val="en-GB" w:eastAsia="en-US"/>
        </w:rPr>
        <w:t xml:space="preserve"> </w:t>
      </w:r>
      <w:r w:rsidRPr="00436976">
        <w:rPr>
          <w:lang w:val="en-GB" w:eastAsia="en-US"/>
        </w:rPr>
        <w:t>ECtHR,</w:t>
      </w:r>
      <w:r w:rsidRPr="00436976">
        <w:rPr>
          <w:i/>
          <w:lang w:val="en-GB" w:eastAsia="en-US"/>
        </w:rPr>
        <w:t xml:space="preserve"> Bazorkina v. Russia</w:t>
      </w:r>
      <w:r w:rsidRPr="00436976">
        <w:rPr>
          <w:lang w:val="en-GB" w:eastAsia="en-US"/>
        </w:rPr>
        <w:t>, no. 69481/01, judgment of 27 July 2006, § 121)</w:t>
      </w:r>
      <w:r w:rsidRPr="00436976">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436976">
        <w:rPr>
          <w:i/>
          <w:lang w:val="en-GB" w:eastAsia="en-US"/>
        </w:rPr>
        <w:t>Kaya v. Turkey</w:t>
      </w:r>
      <w:r w:rsidRPr="00436976">
        <w:rPr>
          <w:lang w:val="en-GB" w:eastAsia="en-US"/>
        </w:rPr>
        <w:t xml:space="preserve">, cited in § </w:t>
      </w:r>
      <w:r w:rsidR="007C1B88" w:rsidRPr="00436976">
        <w:rPr>
          <w:lang w:val="en-GB" w:eastAsia="en-US"/>
        </w:rPr>
        <w:fldChar w:fldCharType="begin"/>
      </w:r>
      <w:r w:rsidRPr="00436976">
        <w:rPr>
          <w:lang w:val="en-GB" w:eastAsia="en-US"/>
        </w:rPr>
        <w:instrText xml:space="preserve"> REF _Ref358368938 \r \h </w:instrText>
      </w:r>
      <w:r w:rsidR="007C1B88" w:rsidRPr="00436976">
        <w:rPr>
          <w:lang w:val="en-GB" w:eastAsia="en-US"/>
        </w:rPr>
      </w:r>
      <w:r w:rsidR="007C1B88" w:rsidRPr="00436976">
        <w:rPr>
          <w:lang w:val="en-GB" w:eastAsia="en-US"/>
        </w:rPr>
        <w:fldChar w:fldCharType="separate"/>
      </w:r>
      <w:r w:rsidR="000A1CAA" w:rsidRPr="00436976">
        <w:rPr>
          <w:lang w:val="en-GB" w:eastAsia="en-US"/>
        </w:rPr>
        <w:t>59</w:t>
      </w:r>
      <w:r w:rsidR="007C1B88" w:rsidRPr="00436976">
        <w:rPr>
          <w:lang w:val="en-GB" w:eastAsia="en-US"/>
        </w:rPr>
        <w:fldChar w:fldCharType="end"/>
      </w:r>
      <w:r w:rsidRPr="00436976">
        <w:rPr>
          <w:lang w:val="en-GB" w:eastAsia="en-US"/>
        </w:rPr>
        <w:t xml:space="preserve"> above, at §§ 86</w:t>
      </w:r>
      <w:r w:rsidRPr="00436976">
        <w:rPr>
          <w:lang w:val="en-GB" w:eastAsia="en-US"/>
        </w:rPr>
        <w:noBreakHyphen/>
        <w:t xml:space="preserve">92; ECtHR, </w:t>
      </w:r>
      <w:r w:rsidRPr="00436976">
        <w:rPr>
          <w:i/>
          <w:lang w:val="en-GB" w:eastAsia="en-US"/>
        </w:rPr>
        <w:t xml:space="preserve">Ergi, </w:t>
      </w:r>
      <w:r w:rsidRPr="00436976">
        <w:rPr>
          <w:lang w:val="en-GB" w:eastAsia="en-US"/>
        </w:rPr>
        <w:t xml:space="preserve">cited above, at §§ 82-85; ECtHR [GC], </w:t>
      </w:r>
      <w:r w:rsidRPr="00436976">
        <w:rPr>
          <w:i/>
          <w:lang w:val="en-GB" w:eastAsia="en-US"/>
        </w:rPr>
        <w:t>Tanrıkulu v. Turkey</w:t>
      </w:r>
      <w:r w:rsidRPr="00436976">
        <w:rPr>
          <w:lang w:val="en-GB" w:eastAsia="en-US"/>
        </w:rPr>
        <w:t xml:space="preserve">, no. 23763/94, judgment of 8 July 1999, §§ 101-110, ECHR 1999-IV; ECtHR, </w:t>
      </w:r>
      <w:r w:rsidRPr="00436976">
        <w:rPr>
          <w:i/>
          <w:lang w:val="en-GB" w:eastAsia="en-US"/>
        </w:rPr>
        <w:t>Khashiyev and Akayeva v. Russia</w:t>
      </w:r>
      <w:r w:rsidRPr="00436976">
        <w:rPr>
          <w:lang w:val="en-GB" w:eastAsia="en-US"/>
        </w:rPr>
        <w:t xml:space="preserve">, nos. 57942/00 and 57945/00, judgment of 24 February 2005, §§ 156-166; ECtHR, </w:t>
      </w:r>
      <w:r w:rsidRPr="00436976">
        <w:rPr>
          <w:i/>
          <w:lang w:val="en-GB" w:eastAsia="en-US"/>
        </w:rPr>
        <w:t>Isayeva v. Russia</w:t>
      </w:r>
      <w:r w:rsidRPr="00436976">
        <w:rPr>
          <w:lang w:val="en-GB" w:eastAsia="en-US"/>
        </w:rPr>
        <w:t xml:space="preserve">, </w:t>
      </w:r>
      <w:r w:rsidRPr="00436976">
        <w:rPr>
          <w:lang w:val="en-GB"/>
        </w:rPr>
        <w:t xml:space="preserve">cited </w:t>
      </w:r>
      <w:r w:rsidRPr="00436976">
        <w:rPr>
          <w:color w:val="000000"/>
          <w:lang w:val="en-GB"/>
        </w:rPr>
        <w:t xml:space="preserve">in § </w:t>
      </w:r>
      <w:r w:rsidR="007C1B88" w:rsidRPr="00436976">
        <w:rPr>
          <w:color w:val="000000"/>
          <w:lang w:val="en-GB"/>
        </w:rPr>
        <w:fldChar w:fldCharType="begin"/>
      </w:r>
      <w:r w:rsidRPr="00436976">
        <w:rPr>
          <w:color w:val="000000"/>
          <w:lang w:val="en-GB"/>
        </w:rPr>
        <w:instrText xml:space="preserve"> REF _Ref358368868 \r \h </w:instrText>
      </w:r>
      <w:r w:rsidR="007C1B88" w:rsidRPr="00436976">
        <w:rPr>
          <w:color w:val="000000"/>
          <w:lang w:val="en-GB"/>
        </w:rPr>
      </w:r>
      <w:r w:rsidR="007C1B88" w:rsidRPr="00436976">
        <w:rPr>
          <w:color w:val="000000"/>
          <w:lang w:val="en-GB"/>
        </w:rPr>
        <w:fldChar w:fldCharType="separate"/>
      </w:r>
      <w:r w:rsidR="000E5CB5" w:rsidRPr="00436976">
        <w:rPr>
          <w:color w:val="000000"/>
          <w:lang w:val="en-GB"/>
        </w:rPr>
        <w:t>61</w:t>
      </w:r>
      <w:r w:rsidR="007C1B88" w:rsidRPr="00436976">
        <w:rPr>
          <w:color w:val="000000"/>
          <w:lang w:val="en-GB"/>
        </w:rPr>
        <w:fldChar w:fldCharType="end"/>
      </w:r>
      <w:r w:rsidRPr="00436976">
        <w:rPr>
          <w:color w:val="000000"/>
          <w:lang w:val="en-GB"/>
        </w:rPr>
        <w:t xml:space="preserve"> </w:t>
      </w:r>
      <w:r w:rsidRPr="00436976">
        <w:rPr>
          <w:lang w:val="en-GB"/>
        </w:rPr>
        <w:t xml:space="preserve">above, at </w:t>
      </w:r>
      <w:r w:rsidRPr="00436976">
        <w:rPr>
          <w:lang w:val="en-GB" w:eastAsia="en-US"/>
        </w:rPr>
        <w:t>§§ 215</w:t>
      </w:r>
      <w:r w:rsidRPr="00436976">
        <w:rPr>
          <w:lang w:val="en-GB" w:eastAsia="en-US"/>
        </w:rPr>
        <w:noBreakHyphen/>
        <w:t xml:space="preserve">224; ECtHR, </w:t>
      </w:r>
      <w:r w:rsidRPr="00436976">
        <w:rPr>
          <w:i/>
          <w:lang w:val="en-GB" w:eastAsia="en-US"/>
        </w:rPr>
        <w:t>Musayev and Others v. Russia</w:t>
      </w:r>
      <w:r w:rsidRPr="00436976">
        <w:rPr>
          <w:lang w:val="en-GB" w:eastAsia="en-US"/>
        </w:rPr>
        <w:t>, nos. 57941/00 and others, judgment of 26 July 2007, §§ 158-165).</w:t>
      </w:r>
      <w:bookmarkEnd w:id="30"/>
      <w:r w:rsidRPr="00436976">
        <w:rPr>
          <w:lang w:val="en-GB" w:eastAsia="en-US"/>
        </w:rPr>
        <w:t xml:space="preserve"> </w:t>
      </w:r>
    </w:p>
    <w:p w:rsidR="00F3555A" w:rsidRPr="00436976" w:rsidRDefault="00F3555A" w:rsidP="00F3555A">
      <w:pPr>
        <w:pStyle w:val="ListParagraph"/>
        <w:tabs>
          <w:tab w:val="left" w:pos="360"/>
        </w:tabs>
        <w:ind w:left="360" w:hanging="360"/>
        <w:jc w:val="both"/>
        <w:rPr>
          <w:color w:val="000000"/>
          <w:lang w:val="en-GB" w:eastAsia="en-US"/>
        </w:rPr>
      </w:pPr>
    </w:p>
    <w:p w:rsidR="00F3555A" w:rsidRPr="00436976" w:rsidRDefault="00F3555A" w:rsidP="00E63CC3">
      <w:pPr>
        <w:pStyle w:val="ListParagraph"/>
        <w:numPr>
          <w:ilvl w:val="0"/>
          <w:numId w:val="2"/>
        </w:numPr>
        <w:tabs>
          <w:tab w:val="left" w:pos="360"/>
        </w:tabs>
        <w:suppressAutoHyphens w:val="0"/>
        <w:contextualSpacing/>
        <w:jc w:val="both"/>
        <w:rPr>
          <w:i/>
          <w:color w:val="000000"/>
          <w:lang w:val="en-GB" w:eastAsia="en-US"/>
        </w:rPr>
      </w:pPr>
      <w:r w:rsidRPr="00436976">
        <w:rPr>
          <w:color w:val="000000"/>
          <w:lang w:val="en-GB" w:eastAsia="en-US"/>
        </w:rPr>
        <w:t xml:space="preserve">Similarly, the HRC has held that the right to life, including its procedural guarantees, shall be considered as the supreme right from which no derogation is </w:t>
      </w:r>
      <w:r w:rsidRPr="00436976">
        <w:rPr>
          <w:lang w:val="en-GB"/>
        </w:rPr>
        <w:t>permitted</w:t>
      </w:r>
      <w:r w:rsidRPr="00436976">
        <w:rPr>
          <w:color w:val="000000"/>
          <w:lang w:val="en-GB" w:eastAsia="en-US"/>
        </w:rPr>
        <w:t xml:space="preserve"> even in time of public emergency which threatens the life of the nation (see, HRC, General Comment No. 6, cited in § </w:t>
      </w:r>
      <w:r w:rsidR="007C1B88" w:rsidRPr="00436976">
        <w:rPr>
          <w:lang w:val="en-GB"/>
        </w:rPr>
        <w:fldChar w:fldCharType="begin"/>
      </w:r>
      <w:r w:rsidRPr="00436976">
        <w:rPr>
          <w:color w:val="000000"/>
          <w:lang w:val="en-GB" w:eastAsia="en-US"/>
        </w:rPr>
        <w:instrText xml:space="preserve"> REF _Ref358375480 \r \h </w:instrText>
      </w:r>
      <w:r w:rsidR="007C1B88" w:rsidRPr="00436976">
        <w:rPr>
          <w:lang w:val="en-GB"/>
        </w:rPr>
      </w:r>
      <w:r w:rsidR="007C1B88" w:rsidRPr="00436976">
        <w:rPr>
          <w:lang w:val="en-GB"/>
        </w:rPr>
        <w:fldChar w:fldCharType="separate"/>
      </w:r>
      <w:r w:rsidR="000E5CB5" w:rsidRPr="00436976">
        <w:rPr>
          <w:color w:val="000000"/>
          <w:lang w:val="en-GB" w:eastAsia="en-US"/>
        </w:rPr>
        <w:t>58</w:t>
      </w:r>
      <w:r w:rsidR="007C1B88" w:rsidRPr="00436976">
        <w:rPr>
          <w:lang w:val="en-GB"/>
        </w:rPr>
        <w:fldChar w:fldCharType="end"/>
      </w:r>
      <w:r w:rsidRPr="00436976">
        <w:rPr>
          <w:color w:val="000000"/>
          <w:lang w:val="en-GB" w:eastAsia="en-US"/>
        </w:rPr>
        <w:t xml:space="preserve"> above, at § 1; HRC, </w:t>
      </w:r>
      <w:r w:rsidRPr="00436976">
        <w:rPr>
          <w:i/>
          <w:color w:val="000000"/>
          <w:lang w:val="en-GB" w:eastAsia="en-US"/>
        </w:rPr>
        <w:t>Abubakar Amirov and Aïzan Amirova v. Russi</w:t>
      </w:r>
      <w:r w:rsidRPr="00436976">
        <w:rPr>
          <w:lang w:val="en-GB"/>
        </w:rPr>
        <w:t>a</w:t>
      </w:r>
      <w:r w:rsidRPr="00436976">
        <w:rPr>
          <w:i/>
          <w:color w:val="000000"/>
          <w:lang w:val="en-GB" w:eastAsia="en-US"/>
        </w:rPr>
        <w:t>n Federation</w:t>
      </w:r>
      <w:r w:rsidRPr="00436976">
        <w:rPr>
          <w:color w:val="000000"/>
          <w:lang w:val="en-GB" w:eastAsia="en-US"/>
        </w:rPr>
        <w:t xml:space="preserve">, communication no. 1447/2006, views of 22 April 2009, § 11.2, </w:t>
      </w:r>
      <w:r w:rsidRPr="00436976">
        <w:rPr>
          <w:bCs/>
          <w:lang w:val="en-GB" w:eastAsia="en-US"/>
        </w:rPr>
        <w:t>CCPR/C/95/D/1447/2006</w:t>
      </w:r>
      <w:r w:rsidRPr="00436976">
        <w:rPr>
          <w:lang w:val="en-GB" w:eastAsia="en-US"/>
        </w:rPr>
        <w:t>).</w:t>
      </w:r>
      <w:r w:rsidRPr="00436976">
        <w:rPr>
          <w:color w:val="000000"/>
          <w:lang w:val="en-GB"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436976">
        <w:rPr>
          <w:lang w:val="en-GB" w:eastAsia="en-US"/>
        </w:rPr>
        <w:t>§§ 12-13, CCPR/C/UNK/CO/1).</w:t>
      </w:r>
    </w:p>
    <w:p w:rsidR="00F3555A" w:rsidRPr="00436976" w:rsidRDefault="00F3555A" w:rsidP="00F3555A">
      <w:pPr>
        <w:tabs>
          <w:tab w:val="left" w:pos="360"/>
        </w:tabs>
        <w:ind w:left="360" w:hanging="360"/>
        <w:rPr>
          <w:lang w:val="en-GB"/>
        </w:rPr>
      </w:pPr>
    </w:p>
    <w:p w:rsidR="00F3555A" w:rsidRPr="00436976" w:rsidRDefault="00F3555A" w:rsidP="00E63CC3">
      <w:pPr>
        <w:pStyle w:val="ListParagraph"/>
        <w:numPr>
          <w:ilvl w:val="0"/>
          <w:numId w:val="2"/>
        </w:numPr>
        <w:tabs>
          <w:tab w:val="left" w:pos="360"/>
        </w:tabs>
        <w:suppressAutoHyphens w:val="0"/>
        <w:contextualSpacing/>
        <w:jc w:val="both"/>
        <w:rPr>
          <w:lang w:val="en-GB"/>
        </w:rPr>
      </w:pPr>
      <w:r w:rsidRPr="00436976">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436976">
        <w:rPr>
          <w:color w:val="000000"/>
          <w:lang w:val="en-GB"/>
        </w:rPr>
        <w:t xml:space="preserve">officers or units of UNMIK Police. Such a system should also take account of the protection needs of victims and witnesses (see, </w:t>
      </w:r>
      <w:r w:rsidRPr="00436976">
        <w:rPr>
          <w:i/>
          <w:color w:val="000000"/>
          <w:lang w:val="en-GB"/>
        </w:rPr>
        <w:t>mutatis mutandis</w:t>
      </w:r>
      <w:r w:rsidRPr="00436976">
        <w:rPr>
          <w:color w:val="000000"/>
          <w:lang w:val="en-GB"/>
        </w:rPr>
        <w:t xml:space="preserve">, ECtHR, </w:t>
      </w:r>
      <w:r w:rsidRPr="00436976">
        <w:rPr>
          <w:i/>
          <w:color w:val="000000"/>
          <w:lang w:val="en-GB"/>
        </w:rPr>
        <w:t>R.R. and Others v. Hungary</w:t>
      </w:r>
      <w:r w:rsidRPr="00436976">
        <w:rPr>
          <w:color w:val="000000"/>
          <w:lang w:val="en-GB"/>
        </w:rPr>
        <w:t xml:space="preserve">, no. 19400/11, judgment of 4 December 2012, §§ 28-32), as well as to consider the special vulnerability of displaced persons in post-conflict situations (see ECtHR [GC], </w:t>
      </w:r>
      <w:r w:rsidRPr="00436976">
        <w:rPr>
          <w:i/>
          <w:color w:val="000000"/>
          <w:lang w:val="en-GB"/>
        </w:rPr>
        <w:t xml:space="preserve">Sargsyan v. Azerbaijan, </w:t>
      </w:r>
      <w:r w:rsidRPr="00436976">
        <w:rPr>
          <w:color w:val="000000"/>
          <w:lang w:val="en-GB"/>
        </w:rPr>
        <w:t xml:space="preserve">no. 40167/06, decision of 14 December 2011, § 145; and ECtHR [GC], </w:t>
      </w:r>
      <w:r w:rsidRPr="00436976">
        <w:rPr>
          <w:i/>
          <w:color w:val="000000"/>
          <w:lang w:val="en-GB"/>
        </w:rPr>
        <w:t>Chiragov and Others v. Armenia</w:t>
      </w:r>
      <w:r w:rsidRPr="00436976">
        <w:rPr>
          <w:color w:val="000000"/>
          <w:lang w:val="en-GB"/>
        </w:rPr>
        <w:t>, no. 13216/05, decision of 14 December 2011, § 146). While understanding that the deployment and the organisation of the police and justice apparatus occurred</w:t>
      </w:r>
      <w:r w:rsidRPr="00436976">
        <w:rPr>
          <w:lang w:val="en-GB"/>
        </w:rPr>
        <w:t xml:space="preserve"> gradually, the Panel deems that this process was completed in 2003 when the police and justice system in Kosovo was described as being “well-functioning” and “sustainable” by the UN Secretary-General (see </w:t>
      </w:r>
      <w:r w:rsidRPr="00436976">
        <w:rPr>
          <w:lang w:val="en-GB" w:eastAsia="en-US"/>
        </w:rPr>
        <w:t xml:space="preserve">§ </w:t>
      </w:r>
      <w:r w:rsidR="007C1B88" w:rsidRPr="00436976">
        <w:rPr>
          <w:lang w:val="en-GB"/>
        </w:rPr>
        <w:fldChar w:fldCharType="begin"/>
      </w:r>
      <w:r w:rsidR="00C376D6" w:rsidRPr="00436976">
        <w:rPr>
          <w:lang w:val="en-GB" w:eastAsia="en-US"/>
        </w:rPr>
        <w:instrText xml:space="preserve"> REF _Ref346123767 \r \h </w:instrText>
      </w:r>
      <w:r w:rsidR="007C1B88" w:rsidRPr="00436976">
        <w:rPr>
          <w:lang w:val="en-GB"/>
        </w:rPr>
      </w:r>
      <w:r w:rsidR="007C1B88" w:rsidRPr="00436976">
        <w:rPr>
          <w:lang w:val="en-GB"/>
        </w:rPr>
        <w:fldChar w:fldCharType="separate"/>
      </w:r>
      <w:r w:rsidR="000E5CB5" w:rsidRPr="00436976">
        <w:rPr>
          <w:lang w:val="en-GB" w:eastAsia="en-US"/>
        </w:rPr>
        <w:t>19</w:t>
      </w:r>
      <w:r w:rsidR="007C1B88" w:rsidRPr="00436976">
        <w:rPr>
          <w:lang w:val="en-GB"/>
        </w:rPr>
        <w:fldChar w:fldCharType="end"/>
      </w:r>
      <w:r w:rsidRPr="00436976">
        <w:rPr>
          <w:lang w:val="en-GB" w:eastAsia="en-US"/>
        </w:rPr>
        <w:t xml:space="preserve"> </w:t>
      </w:r>
      <w:r w:rsidRPr="00436976">
        <w:rPr>
          <w:lang w:val="en-GB"/>
        </w:rPr>
        <w:t xml:space="preserve">above). </w:t>
      </w:r>
    </w:p>
    <w:p w:rsidR="00BB40BA" w:rsidRPr="00436976" w:rsidRDefault="00BB40BA" w:rsidP="00BB40BA">
      <w:pPr>
        <w:pStyle w:val="ListParagraph"/>
        <w:suppressAutoHyphens w:val="0"/>
        <w:ind w:left="360"/>
        <w:contextualSpacing/>
        <w:jc w:val="both"/>
        <w:rPr>
          <w:lang w:val="en-GB"/>
        </w:rPr>
      </w:pPr>
    </w:p>
    <w:p w:rsidR="00BB40BA" w:rsidRPr="00436976" w:rsidRDefault="00BB40BA" w:rsidP="00BB40BA">
      <w:pPr>
        <w:pStyle w:val="ListParagraph"/>
        <w:numPr>
          <w:ilvl w:val="0"/>
          <w:numId w:val="2"/>
        </w:numPr>
        <w:suppressAutoHyphens w:val="0"/>
        <w:contextualSpacing/>
        <w:jc w:val="both"/>
        <w:rPr>
          <w:lang w:val="en-GB"/>
        </w:rPr>
      </w:pPr>
      <w:r w:rsidRPr="00436976">
        <w:rPr>
          <w:lang w:val="en-GB"/>
        </w:rP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(see ECtHR, </w:t>
      </w:r>
      <w:r w:rsidRPr="00436976">
        <w:rPr>
          <w:i/>
          <w:lang w:val="en-GB"/>
        </w:rPr>
        <w:t>Palić v. Bosnia and Herzegovina,</w:t>
      </w:r>
      <w:r w:rsidRPr="00436976">
        <w:rPr>
          <w:lang w:val="en-GB"/>
        </w:rPr>
        <w:t xml:space="preserve"> cited in § </w:t>
      </w:r>
      <w:r w:rsidRPr="00436976">
        <w:rPr>
          <w:lang w:val="en-GB"/>
        </w:rPr>
        <w:fldChar w:fldCharType="begin"/>
      </w:r>
      <w:r w:rsidRPr="00436976">
        <w:rPr>
          <w:lang w:val="en-GB"/>
        </w:rPr>
        <w:instrText xml:space="preserve"> REF _Ref358368767 \r \h </w:instrText>
      </w:r>
      <w:r w:rsidRPr="00436976">
        <w:rPr>
          <w:lang w:val="en-GB"/>
        </w:rPr>
      </w:r>
      <w:r w:rsidRPr="00436976">
        <w:rPr>
          <w:lang w:val="en-GB"/>
        </w:rPr>
        <w:fldChar w:fldCharType="separate"/>
      </w:r>
      <w:r w:rsidRPr="00436976">
        <w:rPr>
          <w:lang w:val="en-GB"/>
        </w:rPr>
        <w:t>62</w:t>
      </w:r>
      <w:r w:rsidRPr="00436976">
        <w:rPr>
          <w:lang w:val="en-GB"/>
        </w:rPr>
        <w:fldChar w:fldCharType="end"/>
      </w:r>
      <w:r w:rsidRPr="00436976">
        <w:rPr>
          <w:lang w:val="en-GB"/>
        </w:rPr>
        <w:t xml:space="preserve"> above, </w:t>
      </w:r>
      <w:r w:rsidRPr="00436976">
        <w:rPr>
          <w:i/>
          <w:lang w:val="en-GB"/>
        </w:rPr>
        <w:t>Brecknell v. The United Kingdom,</w:t>
      </w:r>
      <w:r w:rsidRPr="00436976">
        <w:rPr>
          <w:lang w:val="en-GB"/>
        </w:rPr>
        <w:t xml:space="preserve"> no. 32457/04, 27 November 2007, § 70).</w:t>
      </w:r>
    </w:p>
    <w:p w:rsidR="00F3555A" w:rsidRPr="00436976" w:rsidRDefault="00F3555A" w:rsidP="00BB40BA">
      <w:pPr>
        <w:tabs>
          <w:tab w:val="left" w:pos="360"/>
        </w:tabs>
        <w:rPr>
          <w:lang w:val="en-GB"/>
        </w:rPr>
      </w:pPr>
    </w:p>
    <w:p w:rsidR="00F3555A" w:rsidRPr="00436976" w:rsidRDefault="00F3555A" w:rsidP="00E63CC3">
      <w:pPr>
        <w:numPr>
          <w:ilvl w:val="0"/>
          <w:numId w:val="2"/>
        </w:numPr>
        <w:tabs>
          <w:tab w:val="left" w:pos="360"/>
        </w:tabs>
        <w:suppressAutoHyphens/>
        <w:autoSpaceDE w:val="0"/>
        <w:jc w:val="both"/>
        <w:rPr>
          <w:rStyle w:val="sb8d990e2"/>
          <w:lang w:val="en-GB"/>
        </w:rPr>
      </w:pPr>
      <w:r w:rsidRPr="00436976">
        <w:rPr>
          <w:rStyle w:val="sb8d990e2"/>
          <w:lang w:val="en-GB"/>
        </w:rPr>
        <w:t xml:space="preserve">The Panel further notes that its task is not to review relevant practices or alleged obstacles to the conduct of effective investigations </w:t>
      </w:r>
      <w:r w:rsidRPr="00436976">
        <w:rPr>
          <w:rStyle w:val="s6b621b36"/>
          <w:i/>
          <w:lang w:val="en-GB"/>
        </w:rPr>
        <w:t xml:space="preserve">in </w:t>
      </w:r>
      <w:r w:rsidRPr="00436976">
        <w:rPr>
          <w:rStyle w:val="wordhighlighted"/>
          <w:i/>
          <w:lang w:val="en-GB"/>
        </w:rPr>
        <w:t>abstracto</w:t>
      </w:r>
      <w:r w:rsidRPr="00436976">
        <w:rPr>
          <w:rStyle w:val="sb8d990e2"/>
          <w:lang w:val="en-GB"/>
        </w:rPr>
        <w:t xml:space="preserve">, but only in relation to their specific application to the particular circumstances of a situation subject of a complaint before </w:t>
      </w:r>
      <w:r w:rsidRPr="00436976">
        <w:rPr>
          <w:rStyle w:val="sb8d990e2"/>
          <w:color w:val="000000"/>
          <w:lang w:val="en-GB"/>
        </w:rPr>
        <w:t xml:space="preserve">it (see, ECtHR, </w:t>
      </w:r>
      <w:r w:rsidRPr="00436976">
        <w:rPr>
          <w:rStyle w:val="s6b621b36"/>
          <w:i/>
          <w:color w:val="000000"/>
          <w:lang w:val="en-GB"/>
        </w:rPr>
        <w:t>Brogan</w:t>
      </w:r>
      <w:r w:rsidRPr="00436976">
        <w:rPr>
          <w:rStyle w:val="s6b621b36"/>
          <w:i/>
          <w:lang w:val="en-GB"/>
        </w:rPr>
        <w:t xml:space="preserve"> and Others v. the United </w:t>
      </w:r>
      <w:r w:rsidRPr="00436976">
        <w:rPr>
          <w:rStyle w:val="s6b621b36"/>
          <w:i/>
          <w:color w:val="000000"/>
          <w:lang w:val="en-GB"/>
        </w:rPr>
        <w:t>Kingdom</w:t>
      </w:r>
      <w:r w:rsidRPr="00436976">
        <w:rPr>
          <w:rStyle w:val="sb8d990e2"/>
          <w:color w:val="000000"/>
          <w:lang w:val="en-GB"/>
        </w:rPr>
        <w:t xml:space="preserve">, </w:t>
      </w:r>
      <w:r w:rsidRPr="00436976">
        <w:rPr>
          <w:rStyle w:val="column01"/>
          <w:color w:val="000000"/>
          <w:lang w:val="en-GB"/>
        </w:rPr>
        <w:t>judgment of</w:t>
      </w:r>
      <w:r w:rsidRPr="00436976">
        <w:rPr>
          <w:rStyle w:val="sb8d990e2"/>
          <w:color w:val="000000"/>
          <w:lang w:val="en-GB"/>
        </w:rPr>
        <w:t xml:space="preserve"> 29</w:t>
      </w:r>
      <w:r w:rsidRPr="00436976">
        <w:rPr>
          <w:rStyle w:val="sb8d990e2"/>
          <w:lang w:val="en-GB"/>
        </w:rPr>
        <w:t xml:space="preserve"> November 1988,</w:t>
      </w:r>
      <w:r w:rsidRPr="00436976">
        <w:rPr>
          <w:lang w:val="en-GB"/>
        </w:rPr>
        <w:t xml:space="preserve"> </w:t>
      </w:r>
      <w:r w:rsidRPr="00436976">
        <w:rPr>
          <w:rStyle w:val="sb8d990e2"/>
          <w:lang w:val="en-GB"/>
        </w:rPr>
        <w:t xml:space="preserve">§ 53, Series A no. 145-B). </w:t>
      </w:r>
      <w:r w:rsidRPr="00436976">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436976">
        <w:rPr>
          <w:rStyle w:val="sb8d990e2"/>
          <w:lang w:val="en-GB"/>
        </w:rPr>
        <w:t>For these reasons, the Panel considers that it will establish with regard to each case if all reasonable steps were taken to conduct an effective investigation as prescribed by Article 2,</w:t>
      </w:r>
      <w:r w:rsidRPr="00436976">
        <w:rPr>
          <w:lang w:val="en-GB"/>
        </w:rPr>
        <w:t xml:space="preserve"> </w:t>
      </w:r>
      <w:r w:rsidRPr="00436976">
        <w:rPr>
          <w:rStyle w:val="sb8d990e2"/>
          <w:lang w:val="en-GB"/>
        </w:rPr>
        <w:t>having regard to the realities of the investigative work in Kosovo.</w:t>
      </w:r>
    </w:p>
    <w:p w:rsidR="00F3555A" w:rsidRPr="00436976" w:rsidRDefault="00F3555A" w:rsidP="00BB40BA">
      <w:pPr>
        <w:contextualSpacing/>
        <w:jc w:val="both"/>
        <w:rPr>
          <w:lang w:val="en-GB"/>
        </w:rPr>
      </w:pPr>
    </w:p>
    <w:p w:rsidR="00F3555A" w:rsidRPr="00436976" w:rsidRDefault="00F3555A" w:rsidP="00E63CC3">
      <w:pPr>
        <w:pStyle w:val="ListParagraph"/>
        <w:numPr>
          <w:ilvl w:val="0"/>
          <w:numId w:val="6"/>
        </w:numPr>
        <w:tabs>
          <w:tab w:val="left" w:pos="360"/>
        </w:tabs>
        <w:suppressAutoHyphens w:val="0"/>
        <w:ind w:left="360"/>
        <w:contextualSpacing/>
        <w:jc w:val="both"/>
        <w:rPr>
          <w:bCs/>
          <w:i/>
          <w:color w:val="FF0000"/>
          <w:lang w:val="en-GB"/>
        </w:rPr>
      </w:pPr>
      <w:r w:rsidRPr="00436976">
        <w:rPr>
          <w:i/>
          <w:color w:val="000000"/>
          <w:lang w:val="en-GB" w:eastAsia="en-US"/>
        </w:rPr>
        <w:t>Compliance</w:t>
      </w:r>
      <w:r w:rsidRPr="00436976">
        <w:rPr>
          <w:bCs/>
          <w:i/>
          <w:lang w:val="en-GB"/>
        </w:rPr>
        <w:t xml:space="preserve"> with the requirements of Article 2 in the present case</w:t>
      </w:r>
    </w:p>
    <w:p w:rsidR="00F3555A" w:rsidRPr="00436976" w:rsidRDefault="00F3555A" w:rsidP="00F3555A">
      <w:pPr>
        <w:jc w:val="both"/>
        <w:rPr>
          <w:lang w:val="en-GB"/>
        </w:rPr>
      </w:pPr>
    </w:p>
    <w:p w:rsidR="00F3555A" w:rsidRPr="00436976" w:rsidRDefault="00F3555A" w:rsidP="00E63CC3">
      <w:pPr>
        <w:pStyle w:val="ListParagraph"/>
        <w:numPr>
          <w:ilvl w:val="0"/>
          <w:numId w:val="2"/>
        </w:numPr>
        <w:suppressAutoHyphens w:val="0"/>
        <w:contextualSpacing/>
        <w:jc w:val="both"/>
        <w:rPr>
          <w:lang w:val="en-GB"/>
        </w:rPr>
      </w:pPr>
      <w:r w:rsidRPr="00436976">
        <w:rPr>
          <w:bCs/>
          <w:lang w:val="en-GB"/>
        </w:rPr>
        <w:t>Turning to the particular circumstances of this case,</w:t>
      </w:r>
      <w:r w:rsidRPr="00436976">
        <w:rPr>
          <w:lang w:val="en-GB"/>
        </w:rPr>
        <w:t xml:space="preserve"> </w:t>
      </w:r>
      <w:r w:rsidR="00AD5960" w:rsidRPr="00436976">
        <w:rPr>
          <w:lang w:val="en-GB"/>
        </w:rPr>
        <w:t>Mrs Dragica Majstorović indicates that she</w:t>
      </w:r>
      <w:r w:rsidR="00CA7AB3" w:rsidRPr="00436976">
        <w:rPr>
          <w:lang w:val="en-GB"/>
        </w:rPr>
        <w:t xml:space="preserve"> immediately</w:t>
      </w:r>
      <w:r w:rsidR="00AD5960" w:rsidRPr="00436976">
        <w:rPr>
          <w:lang w:val="en-GB"/>
        </w:rPr>
        <w:t xml:space="preserve"> reported the abduction of Mr Majstorović to KFOR, UNMIK Police, the Serbian Ministry of Internal Affairs, the ICRC </w:t>
      </w:r>
      <w:r w:rsidR="000A1CAA" w:rsidRPr="00436976">
        <w:rPr>
          <w:lang w:val="en-GB"/>
        </w:rPr>
        <w:t>and</w:t>
      </w:r>
      <w:r w:rsidR="00AD5960" w:rsidRPr="00436976">
        <w:rPr>
          <w:lang w:val="en-GB"/>
        </w:rPr>
        <w:t xml:space="preserve"> the Yu</w:t>
      </w:r>
      <w:r w:rsidR="000A1CAA" w:rsidRPr="00436976">
        <w:rPr>
          <w:lang w:val="en-GB"/>
        </w:rPr>
        <w:t>goslav Red Cross.</w:t>
      </w:r>
      <w:r w:rsidR="00AD5960" w:rsidRPr="00436976">
        <w:rPr>
          <w:lang w:val="en-GB"/>
        </w:rPr>
        <w:t xml:space="preserve"> </w:t>
      </w:r>
      <w:r w:rsidR="00CA7AB3" w:rsidRPr="00436976">
        <w:rPr>
          <w:lang w:val="en-GB"/>
        </w:rPr>
        <w:t>Mrs Slavica Stevanović indicates that she immediately reported the abduction of Mr Stevanović to the ICRC, the Red Cross in Niš (Serbia), and to an International Public Prosecutor in Prishtinё</w:t>
      </w:r>
      <w:r w:rsidR="00C71126" w:rsidRPr="00436976">
        <w:rPr>
          <w:lang w:val="en-GB"/>
        </w:rPr>
        <w:t xml:space="preserve">/Priština. </w:t>
      </w:r>
      <w:r w:rsidRPr="00436976">
        <w:rPr>
          <w:lang w:val="en-GB"/>
        </w:rPr>
        <w:t xml:space="preserve">Lacking specific documentation in this regard, the Panel considers that UNMIK became aware of </w:t>
      </w:r>
      <w:r w:rsidR="00AD5960" w:rsidRPr="00436976">
        <w:rPr>
          <w:lang w:val="en-GB"/>
        </w:rPr>
        <w:t>Mr Ivan Majstorović and Mr Dragan Stevanović’s abductions at the latest in</w:t>
      </w:r>
      <w:r w:rsidRPr="00436976">
        <w:rPr>
          <w:lang w:val="en-GB"/>
        </w:rPr>
        <w:t xml:space="preserve">  1999 (see § </w:t>
      </w:r>
      <w:r w:rsidR="000A1CAA" w:rsidRPr="00436976">
        <w:rPr>
          <w:lang w:val="en-GB"/>
        </w:rPr>
        <w:fldChar w:fldCharType="begin"/>
      </w:r>
      <w:r w:rsidR="000A1CAA" w:rsidRPr="00436976">
        <w:rPr>
          <w:lang w:val="en-GB"/>
        </w:rPr>
        <w:instrText xml:space="preserve"> REF _Ref361991219 \r \h  \* MERGEFORMAT </w:instrText>
      </w:r>
      <w:r w:rsidR="000A1CAA" w:rsidRPr="00436976">
        <w:rPr>
          <w:lang w:val="en-GB"/>
        </w:rPr>
      </w:r>
      <w:r w:rsidR="000A1CAA" w:rsidRPr="00436976">
        <w:rPr>
          <w:lang w:val="en-GB"/>
        </w:rPr>
        <w:fldChar w:fldCharType="separate"/>
      </w:r>
      <w:r w:rsidR="000A1CAA" w:rsidRPr="00436976">
        <w:rPr>
          <w:lang w:val="en-GB"/>
        </w:rPr>
        <w:t>47</w:t>
      </w:r>
      <w:r w:rsidR="000A1CAA" w:rsidRPr="00436976">
        <w:rPr>
          <w:lang w:val="en-GB"/>
        </w:rPr>
        <w:fldChar w:fldCharType="end"/>
      </w:r>
      <w:r w:rsidRPr="00436976">
        <w:rPr>
          <w:lang w:val="en-GB"/>
        </w:rPr>
        <w:t xml:space="preserve"> above).</w:t>
      </w:r>
    </w:p>
    <w:p w:rsidR="00F3555A" w:rsidRPr="00436976" w:rsidRDefault="00F3555A" w:rsidP="00F3555A">
      <w:pPr>
        <w:pStyle w:val="ListParagraph"/>
        <w:suppressAutoHyphens w:val="0"/>
        <w:ind w:left="360" w:hanging="360"/>
        <w:contextualSpacing/>
        <w:jc w:val="both"/>
        <w:rPr>
          <w:color w:val="000000"/>
          <w:highlight w:val="yellow"/>
          <w:lang w:val="en-GB" w:eastAsia="en-US"/>
        </w:rPr>
      </w:pPr>
    </w:p>
    <w:p w:rsidR="005A358A" w:rsidRPr="00436976" w:rsidRDefault="00CA7AB3" w:rsidP="00E63CC3">
      <w:pPr>
        <w:numPr>
          <w:ilvl w:val="0"/>
          <w:numId w:val="2"/>
        </w:numPr>
        <w:tabs>
          <w:tab w:val="left" w:pos="360"/>
        </w:tabs>
        <w:jc w:val="both"/>
        <w:rPr>
          <w:lang w:val="en-GB"/>
        </w:rPr>
      </w:pPr>
      <w:r w:rsidRPr="00436976">
        <w:rPr>
          <w:lang w:val="en-GB"/>
        </w:rPr>
        <w:t xml:space="preserve">The </w:t>
      </w:r>
      <w:r w:rsidRPr="00436976">
        <w:rPr>
          <w:bCs/>
          <w:lang w:val="en-GB"/>
        </w:rPr>
        <w:t xml:space="preserve">SRSG specifically argues that “it is evident that UNMIK Police did open and pursue an investigation into the disappearance of Mr Ivan Majstorović [and </w:t>
      </w:r>
      <w:r w:rsidRPr="00436976">
        <w:rPr>
          <w:lang w:val="en-GB"/>
        </w:rPr>
        <w:t>Mr Dragan Stevanović]</w:t>
      </w:r>
      <w:r w:rsidR="00C71126" w:rsidRPr="00436976">
        <w:rPr>
          <w:lang w:val="en-GB"/>
        </w:rPr>
        <w:t>”</w:t>
      </w:r>
      <w:r w:rsidRPr="00436976">
        <w:rPr>
          <w:lang w:val="en-GB"/>
        </w:rPr>
        <w:t>; he notes that</w:t>
      </w:r>
      <w:r w:rsidRPr="00436976">
        <w:rPr>
          <w:bCs/>
          <w:lang w:val="en-GB"/>
        </w:rPr>
        <w:t xml:space="preserve"> </w:t>
      </w:r>
      <w:r w:rsidR="00C71126" w:rsidRPr="00436976">
        <w:rPr>
          <w:bCs/>
          <w:lang w:val="en-GB"/>
        </w:rPr>
        <w:t>“</w:t>
      </w:r>
      <w:r w:rsidR="00F3555A" w:rsidRPr="00436976">
        <w:rPr>
          <w:lang w:val="en-GB"/>
        </w:rPr>
        <w:t>an effective investigation was carried out in relation to the</w:t>
      </w:r>
      <w:r w:rsidR="00AD5960" w:rsidRPr="00436976">
        <w:rPr>
          <w:lang w:val="en-GB"/>
        </w:rPr>
        <w:t xml:space="preserve"> abductions of</w:t>
      </w:r>
      <w:r w:rsidR="00F3555A" w:rsidRPr="00436976">
        <w:rPr>
          <w:lang w:val="en-GB"/>
        </w:rPr>
        <w:t xml:space="preserve"> </w:t>
      </w:r>
      <w:r w:rsidR="008F3FAD" w:rsidRPr="00436976">
        <w:rPr>
          <w:lang w:val="en-GB"/>
        </w:rPr>
        <w:t xml:space="preserve">Mr Ivan Majstorović and Mr Dragan Stevanović </w:t>
      </w:r>
      <w:r w:rsidR="00EA7EB9" w:rsidRPr="00436976">
        <w:rPr>
          <w:lang w:val="en-GB"/>
        </w:rPr>
        <w:t>in December 2003 and</w:t>
      </w:r>
      <w:r w:rsidR="00C71126" w:rsidRPr="00436976">
        <w:rPr>
          <w:lang w:val="en-GB"/>
        </w:rPr>
        <w:t xml:space="preserve"> </w:t>
      </w:r>
      <w:r w:rsidRPr="00436976">
        <w:rPr>
          <w:bCs/>
          <w:lang w:val="en-GB"/>
        </w:rPr>
        <w:t>the Central Criminal Investigations Unit made a decision to close the case following a determination that the case did not meet the level of either proof, evidence or suspect identification to remain open.</w:t>
      </w:r>
      <w:r w:rsidR="00C71126" w:rsidRPr="00436976">
        <w:rPr>
          <w:bCs/>
          <w:lang w:val="en-GB"/>
        </w:rPr>
        <w:t>”</w:t>
      </w:r>
      <w:r w:rsidRPr="00436976">
        <w:rPr>
          <w:bCs/>
          <w:lang w:val="en-GB"/>
        </w:rPr>
        <w:t xml:space="preserve"> </w:t>
      </w:r>
    </w:p>
    <w:p w:rsidR="00CA7AB3" w:rsidRPr="00436976" w:rsidRDefault="00CA7AB3" w:rsidP="00CA7AB3">
      <w:pPr>
        <w:tabs>
          <w:tab w:val="left" w:pos="360"/>
        </w:tabs>
        <w:jc w:val="both"/>
        <w:rPr>
          <w:lang w:val="en-GB"/>
        </w:rPr>
      </w:pPr>
    </w:p>
    <w:p w:rsidR="005A358A" w:rsidRPr="00436976" w:rsidRDefault="005A358A" w:rsidP="00E63CC3">
      <w:pPr>
        <w:numPr>
          <w:ilvl w:val="0"/>
          <w:numId w:val="2"/>
        </w:numPr>
        <w:suppressAutoHyphens/>
        <w:autoSpaceDE w:val="0"/>
        <w:jc w:val="both"/>
        <w:rPr>
          <w:lang w:val="en-GB"/>
        </w:rPr>
      </w:pPr>
      <w:r w:rsidRPr="00436976">
        <w:rPr>
          <w:lang w:val="en-GB"/>
        </w:rPr>
        <w:t xml:space="preserve">In this regard, the Panel first addresses the issue of the burden of proof. At the admissibility stage, the Panel was satisfied that the complainants’ allegations were not groundless, thus it accepted the existence of a </w:t>
      </w:r>
      <w:r w:rsidRPr="00436976">
        <w:rPr>
          <w:i/>
          <w:lang w:val="en-GB"/>
        </w:rPr>
        <w:t>prima facie</w:t>
      </w:r>
      <w:r w:rsidRPr="00436976">
        <w:rPr>
          <w:lang w:val="en-GB"/>
        </w:rPr>
        <w:t xml:space="preserve"> case: that </w:t>
      </w:r>
      <w:r w:rsidR="00CA7AB3" w:rsidRPr="00436976">
        <w:rPr>
          <w:lang w:val="en-GB"/>
        </w:rPr>
        <w:t xml:space="preserve">Mr Ivan Majstorović and Mr Dragan Stevanović </w:t>
      </w:r>
      <w:r w:rsidRPr="00436976">
        <w:rPr>
          <w:lang w:val="en-GB"/>
        </w:rPr>
        <w:t>disappeared in life threatening circumstances and th</w:t>
      </w:r>
      <w:r w:rsidR="00CA7AB3" w:rsidRPr="00436976">
        <w:rPr>
          <w:lang w:val="en-GB"/>
        </w:rPr>
        <w:t>at UNMIK had become aware of their</w:t>
      </w:r>
      <w:r w:rsidRPr="00436976">
        <w:rPr>
          <w:lang w:val="en-GB"/>
        </w:rPr>
        <w:t xml:space="preserve"> abduction at the latest </w:t>
      </w:r>
      <w:r w:rsidR="00CA7AB3" w:rsidRPr="00436976">
        <w:rPr>
          <w:lang w:val="en-GB"/>
        </w:rPr>
        <w:t xml:space="preserve">in </w:t>
      </w:r>
      <w:r w:rsidRPr="00436976">
        <w:rPr>
          <w:lang w:val="en-GB"/>
        </w:rPr>
        <w:t>1999</w:t>
      </w:r>
      <w:r w:rsidR="00CA7AB3" w:rsidRPr="00436976">
        <w:rPr>
          <w:lang w:val="en-GB"/>
        </w:rPr>
        <w:t xml:space="preserve"> (see § 47</w:t>
      </w:r>
      <w:r w:rsidRPr="00436976">
        <w:rPr>
          <w:lang w:val="en-GB"/>
        </w:rPr>
        <w:t xml:space="preserve"> above).</w:t>
      </w:r>
    </w:p>
    <w:p w:rsidR="005A358A" w:rsidRPr="00436976" w:rsidRDefault="005A358A" w:rsidP="005A358A">
      <w:pPr>
        <w:tabs>
          <w:tab w:val="left" w:pos="360"/>
        </w:tabs>
        <w:suppressAutoHyphens/>
        <w:autoSpaceDE w:val="0"/>
        <w:ind w:left="360"/>
        <w:jc w:val="both"/>
        <w:rPr>
          <w:lang w:val="en-GB"/>
        </w:rPr>
      </w:pPr>
    </w:p>
    <w:p w:rsidR="005A358A" w:rsidRPr="00436976" w:rsidRDefault="005A358A" w:rsidP="00E63CC3">
      <w:pPr>
        <w:numPr>
          <w:ilvl w:val="0"/>
          <w:numId w:val="2"/>
        </w:numPr>
        <w:tabs>
          <w:tab w:val="left" w:pos="360"/>
        </w:tabs>
        <w:suppressAutoHyphens/>
        <w:autoSpaceDE w:val="0"/>
        <w:jc w:val="both"/>
        <w:rPr>
          <w:lang w:val="en-GB"/>
        </w:rPr>
      </w:pPr>
      <w:r w:rsidRPr="00436976">
        <w:rPr>
          <w:lang w:val="en-GB"/>
        </w:rPr>
        <w:t>Accordingly, applying the princ</w:t>
      </w:r>
      <w:r w:rsidR="00B31934" w:rsidRPr="00436976">
        <w:rPr>
          <w:lang w:val="en-GB"/>
        </w:rPr>
        <w:t>i</w:t>
      </w:r>
      <w:r w:rsidR="00CA7AB3" w:rsidRPr="00436976">
        <w:rPr>
          <w:lang w:val="en-GB"/>
        </w:rPr>
        <w:t>ples discussed above (see §§ 54-57</w:t>
      </w:r>
      <w:r w:rsidRPr="00436976">
        <w:rPr>
          <w:lang w:val="en-GB"/>
        </w:rPr>
        <w:t>),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rsidR="005A358A" w:rsidRPr="00436976" w:rsidRDefault="005A358A" w:rsidP="005A358A">
      <w:pPr>
        <w:tabs>
          <w:tab w:val="left" w:pos="360"/>
        </w:tabs>
        <w:suppressAutoHyphens/>
        <w:autoSpaceDE w:val="0"/>
        <w:ind w:left="360"/>
        <w:jc w:val="both"/>
        <w:rPr>
          <w:lang w:val="en-GB"/>
        </w:rPr>
      </w:pPr>
    </w:p>
    <w:p w:rsidR="005A358A" w:rsidRPr="00436976" w:rsidRDefault="00C37EFE" w:rsidP="00E63CC3">
      <w:pPr>
        <w:numPr>
          <w:ilvl w:val="0"/>
          <w:numId w:val="2"/>
        </w:numPr>
        <w:tabs>
          <w:tab w:val="left" w:pos="360"/>
        </w:tabs>
        <w:suppressAutoHyphens/>
        <w:autoSpaceDE w:val="0"/>
        <w:jc w:val="both"/>
        <w:rPr>
          <w:lang w:val="en-GB"/>
        </w:rPr>
      </w:pPr>
      <w:r w:rsidRPr="00436976">
        <w:rPr>
          <w:lang w:val="en-GB"/>
        </w:rPr>
        <w:t xml:space="preserve">The Panel notes that according to the 2000 Annual Report of UNMIK Police, at least from mid-September 1999 the whole system of criminal investigation in Prishtinë/Priŝtina region was under the full control of UNMIK. </w:t>
      </w:r>
      <w:r w:rsidR="005A358A" w:rsidRPr="00436976">
        <w:rPr>
          <w:lang w:val="en-GB"/>
        </w:rPr>
        <w:t xml:space="preserve">Therefore, it was UNMIK’s responsibility to ensure, first, that the investigation is conducted expeditiously and efficiently; second, that all relevant investigative material is properly handed over to the authority taking over  responsibility for investigation (EULEX, see § </w:t>
      </w:r>
      <w:r w:rsidR="000A1CAA" w:rsidRPr="00436976">
        <w:rPr>
          <w:lang w:val="en-GB"/>
        </w:rPr>
        <w:fldChar w:fldCharType="begin"/>
      </w:r>
      <w:r w:rsidR="000A1CAA" w:rsidRPr="00436976">
        <w:rPr>
          <w:lang w:val="en-GB"/>
        </w:rPr>
        <w:instrText xml:space="preserve"> REF _Ref346123928 \r \h  \* MERGEFORMAT </w:instrText>
      </w:r>
      <w:r w:rsidR="000A1CAA" w:rsidRPr="00436976">
        <w:rPr>
          <w:lang w:val="en-GB"/>
        </w:rPr>
      </w:r>
      <w:r w:rsidR="000A1CAA" w:rsidRPr="00436976">
        <w:rPr>
          <w:lang w:val="en-GB"/>
        </w:rPr>
        <w:fldChar w:fldCharType="separate"/>
      </w:r>
      <w:r w:rsidR="000A1CAA" w:rsidRPr="00436976">
        <w:rPr>
          <w:lang w:val="en-GB"/>
        </w:rPr>
        <w:t>22</w:t>
      </w:r>
      <w:r w:rsidR="000A1CAA" w:rsidRPr="00436976">
        <w:rPr>
          <w:lang w:val="en-GB"/>
        </w:rPr>
        <w:fldChar w:fldCharType="end"/>
      </w:r>
      <w:r w:rsidR="005A358A" w:rsidRPr="00436976">
        <w:rPr>
          <w:lang w:val="en-GB"/>
        </w:rPr>
        <w:t xml:space="preserve"> above); and third, that the investigative files could be trace</w:t>
      </w:r>
      <w:r w:rsidR="000A1CAA" w:rsidRPr="00436976">
        <w:rPr>
          <w:lang w:val="en-GB"/>
        </w:rPr>
        <w:t xml:space="preserve">d and retrieved, should a need </w:t>
      </w:r>
      <w:r w:rsidR="005A358A" w:rsidRPr="00436976">
        <w:rPr>
          <w:lang w:val="en-GB"/>
        </w:rPr>
        <w:t>arise at any later stage.</w:t>
      </w:r>
    </w:p>
    <w:p w:rsidR="005A358A" w:rsidRPr="00436976" w:rsidRDefault="005A358A" w:rsidP="005A358A">
      <w:pPr>
        <w:tabs>
          <w:tab w:val="left" w:pos="360"/>
        </w:tabs>
        <w:suppressAutoHyphens/>
        <w:autoSpaceDE w:val="0"/>
        <w:ind w:left="360"/>
        <w:jc w:val="both"/>
        <w:rPr>
          <w:lang w:val="en-GB"/>
        </w:rPr>
      </w:pPr>
    </w:p>
    <w:p w:rsidR="005A358A" w:rsidRPr="00436976" w:rsidRDefault="005A358A" w:rsidP="00E63CC3">
      <w:pPr>
        <w:numPr>
          <w:ilvl w:val="0"/>
          <w:numId w:val="2"/>
        </w:numPr>
        <w:tabs>
          <w:tab w:val="left" w:pos="360"/>
        </w:tabs>
        <w:suppressAutoHyphens/>
        <w:autoSpaceDE w:val="0"/>
        <w:jc w:val="both"/>
        <w:rPr>
          <w:lang w:val="en-GB"/>
        </w:rPr>
      </w:pPr>
      <w:r w:rsidRPr="00436976">
        <w:rPr>
          <w:lang w:val="en-GB"/>
        </w:rPr>
        <w:t>The Panel infers from the limited content of the investigative file that one of the following situations occurred: no investigation was carried out; UNMIK deliberately opted not to present the file to the Panel, despite its obligation to cooperate with the Panel and to provide it with the necessary assistance, including the release of documents relevant to the complaints under Section 15 of UNMIK Regul</w:t>
      </w:r>
      <w:r w:rsidR="00B31934" w:rsidRPr="00436976">
        <w:rPr>
          <w:lang w:val="en-GB"/>
        </w:rPr>
        <w:t xml:space="preserve">ation No. 2006/12 (cited in § </w:t>
      </w:r>
      <w:r w:rsidR="007C1B88" w:rsidRPr="00436976">
        <w:rPr>
          <w:lang w:val="en-GB"/>
        </w:rPr>
        <w:fldChar w:fldCharType="begin"/>
      </w:r>
      <w:r w:rsidR="00B31934" w:rsidRPr="00436976">
        <w:rPr>
          <w:lang w:val="en-GB"/>
        </w:rPr>
        <w:instrText xml:space="preserve"> REF _Ref361751874 \r \h </w:instrText>
      </w:r>
      <w:r w:rsidR="007C1B88" w:rsidRPr="00436976">
        <w:rPr>
          <w:lang w:val="en-GB"/>
        </w:rPr>
      </w:r>
      <w:r w:rsidR="007C1B88" w:rsidRPr="00436976">
        <w:rPr>
          <w:lang w:val="en-GB"/>
        </w:rPr>
        <w:fldChar w:fldCharType="separate"/>
      </w:r>
      <w:r w:rsidR="000E5CB5" w:rsidRPr="00436976">
        <w:rPr>
          <w:lang w:val="en-GB"/>
        </w:rPr>
        <w:t>50</w:t>
      </w:r>
      <w:r w:rsidR="007C1B88" w:rsidRPr="00436976">
        <w:rPr>
          <w:lang w:val="en-GB"/>
        </w:rPr>
        <w:fldChar w:fldCharType="end"/>
      </w:r>
      <w:r w:rsidR="00B31934" w:rsidRPr="00436976">
        <w:rPr>
          <w:lang w:val="en-GB"/>
        </w:rPr>
        <w:t xml:space="preserve"> </w:t>
      </w:r>
      <w:r w:rsidRPr="00436976">
        <w:rPr>
          <w:lang w:val="en-GB"/>
        </w:rPr>
        <w:t>above); the file was not properly handed over to EULEX; or UNMIK failed to retrieve the file from the current custodian.</w:t>
      </w:r>
    </w:p>
    <w:p w:rsidR="005A358A" w:rsidRPr="00436976" w:rsidRDefault="005A358A" w:rsidP="005A358A">
      <w:pPr>
        <w:tabs>
          <w:tab w:val="left" w:pos="360"/>
        </w:tabs>
        <w:suppressAutoHyphens/>
        <w:autoSpaceDE w:val="0"/>
        <w:ind w:left="360"/>
        <w:jc w:val="both"/>
        <w:rPr>
          <w:lang w:val="en-GB"/>
        </w:rPr>
      </w:pPr>
    </w:p>
    <w:p w:rsidR="005A358A" w:rsidRPr="00436976" w:rsidRDefault="005A358A" w:rsidP="00E63CC3">
      <w:pPr>
        <w:numPr>
          <w:ilvl w:val="0"/>
          <w:numId w:val="2"/>
        </w:numPr>
        <w:tabs>
          <w:tab w:val="left" w:pos="360"/>
        </w:tabs>
        <w:suppressAutoHyphens/>
        <w:autoSpaceDE w:val="0"/>
        <w:jc w:val="both"/>
        <w:rPr>
          <w:lang w:val="en-GB"/>
        </w:rPr>
      </w:pPr>
      <w:r w:rsidRPr="00436976">
        <w:rPr>
          <w:lang w:val="en-GB"/>
        </w:rPr>
        <w:t>The Panel has already noted above that it has no reason to doubt UNMIK’s good faith in seeking to provide the investigative file for the Panel’s review. However, the Panel considers that whichever of these potential explanations is applicable, it indicates a failure, which is directly attributable to UNMIK, either when it was exercising its executive functions, or in its current capacity.</w:t>
      </w:r>
    </w:p>
    <w:p w:rsidR="00F3555A" w:rsidRPr="00436976" w:rsidRDefault="00F3555A" w:rsidP="00F3555A">
      <w:pPr>
        <w:ind w:left="360"/>
        <w:jc w:val="both"/>
        <w:rPr>
          <w:lang w:val="en-GB"/>
        </w:rPr>
      </w:pPr>
    </w:p>
    <w:p w:rsidR="000A1CAA" w:rsidRPr="00436976" w:rsidRDefault="00F3555A" w:rsidP="000A1CAA">
      <w:pPr>
        <w:numPr>
          <w:ilvl w:val="0"/>
          <w:numId w:val="2"/>
        </w:numPr>
        <w:tabs>
          <w:tab w:val="left" w:pos="360"/>
        </w:tabs>
        <w:jc w:val="both"/>
        <w:rPr>
          <w:lang w:val="en-GB"/>
        </w:rPr>
      </w:pPr>
      <w:r w:rsidRPr="00436976">
        <w:rPr>
          <w:bCs/>
          <w:lang w:val="en-GB"/>
        </w:rPr>
        <w:t xml:space="preserve">The Panel notes that there </w:t>
      </w:r>
      <w:r w:rsidRPr="00436976">
        <w:rPr>
          <w:lang w:val="en-GB"/>
        </w:rPr>
        <w:t xml:space="preserve">were obvious shortcomings in the conduct of the investigation from its inception, having in </w:t>
      </w:r>
      <w:proofErr w:type="gramStart"/>
      <w:r w:rsidRPr="00436976">
        <w:rPr>
          <w:lang w:val="en-GB"/>
        </w:rPr>
        <w:t>mind</w:t>
      </w:r>
      <w:proofErr w:type="gramEnd"/>
      <w:r w:rsidRPr="00436976">
        <w:rPr>
          <w:lang w:val="en-GB"/>
        </w:rPr>
        <w:t xml:space="preserve"> that </w:t>
      </w:r>
      <w:r w:rsidRPr="00436976">
        <w:rPr>
          <w:bCs/>
          <w:lang w:val="en-GB"/>
        </w:rPr>
        <w:t xml:space="preserve">that the initial stage of the investigation is of the utmost importance. </w:t>
      </w:r>
      <w:r w:rsidRPr="00436976">
        <w:rPr>
          <w:lang w:val="en-GB"/>
        </w:rPr>
        <w:t xml:space="preserve">However, in </w:t>
      </w:r>
      <w:r w:rsidRPr="00436976">
        <w:rPr>
          <w:color w:val="000000"/>
          <w:lang w:val="en-GB"/>
        </w:rPr>
        <w:t xml:space="preserve">light of the considerations developed above concerning its limited temporal jurisdiction (see § </w:t>
      </w:r>
      <w:r w:rsidR="007C1B88" w:rsidRPr="00436976">
        <w:rPr>
          <w:lang w:val="en-GB"/>
        </w:rPr>
        <w:fldChar w:fldCharType="begin"/>
      </w:r>
      <w:r w:rsidR="00C8278E" w:rsidRPr="00436976">
        <w:rPr>
          <w:color w:val="000000"/>
          <w:lang w:val="en-GB"/>
        </w:rPr>
        <w:instrText xml:space="preserve"> REF _Ref361740164 \r \h </w:instrText>
      </w:r>
      <w:r w:rsidR="007C1B88" w:rsidRPr="00436976">
        <w:rPr>
          <w:lang w:val="en-GB"/>
        </w:rPr>
      </w:r>
      <w:r w:rsidR="007C1B88" w:rsidRPr="00436976">
        <w:rPr>
          <w:lang w:val="en-GB"/>
        </w:rPr>
        <w:fldChar w:fldCharType="separate"/>
      </w:r>
      <w:r w:rsidR="000A1CAA" w:rsidRPr="00436976">
        <w:rPr>
          <w:color w:val="000000"/>
          <w:lang w:val="en-GB"/>
        </w:rPr>
        <w:t>39</w:t>
      </w:r>
      <w:r w:rsidR="007C1B88" w:rsidRPr="00436976">
        <w:rPr>
          <w:lang w:val="en-GB"/>
        </w:rPr>
        <w:fldChar w:fldCharType="end"/>
      </w:r>
      <w:r w:rsidRPr="00436976">
        <w:rPr>
          <w:color w:val="000000"/>
          <w:lang w:val="en-GB"/>
        </w:rPr>
        <w:t xml:space="preserve">), the Panel recalls that it is competent </w:t>
      </w:r>
      <w:r w:rsidRPr="00436976">
        <w:rPr>
          <w:i/>
          <w:color w:val="000000"/>
          <w:lang w:val="en-GB"/>
        </w:rPr>
        <w:t>ratione temporis</w:t>
      </w:r>
      <w:r w:rsidRPr="00436976">
        <w:rPr>
          <w:color w:val="000000"/>
          <w:lang w:val="en-GB"/>
        </w:rPr>
        <w:t xml:space="preserve"> to evaluate the compliance of the investigation with Article 2 of the ECHR only for the period after 23 April 2005, </w:t>
      </w:r>
      <w:r w:rsidRPr="00436976">
        <w:rPr>
          <w:lang w:val="en-GB"/>
        </w:rPr>
        <w:t xml:space="preserve">while taking into consideration the state of the case at that date (ECtHR, </w:t>
      </w:r>
      <w:r w:rsidRPr="00436976">
        <w:rPr>
          <w:i/>
          <w:lang w:val="en-GB"/>
        </w:rPr>
        <w:t>Palić v. Bosnia and Herzegovina</w:t>
      </w:r>
      <w:r w:rsidRPr="00436976">
        <w:rPr>
          <w:lang w:val="en-GB"/>
        </w:rPr>
        <w:t xml:space="preserve">, cited in § </w:t>
      </w:r>
      <w:r w:rsidR="007C1B88" w:rsidRPr="00436976">
        <w:rPr>
          <w:lang w:val="en-GB"/>
        </w:rPr>
        <w:fldChar w:fldCharType="begin"/>
      </w:r>
      <w:r w:rsidRPr="00436976">
        <w:rPr>
          <w:lang w:val="en-GB"/>
        </w:rPr>
        <w:instrText xml:space="preserve"> REF _Ref358368767 \r \h </w:instrText>
      </w:r>
      <w:r w:rsidR="007C1B88" w:rsidRPr="00436976">
        <w:rPr>
          <w:lang w:val="en-GB"/>
        </w:rPr>
      </w:r>
      <w:r w:rsidR="007C1B88" w:rsidRPr="00436976">
        <w:rPr>
          <w:lang w:val="en-GB"/>
        </w:rPr>
        <w:fldChar w:fldCharType="separate"/>
      </w:r>
      <w:r w:rsidR="000E5CB5" w:rsidRPr="00436976">
        <w:rPr>
          <w:lang w:val="en-GB"/>
        </w:rPr>
        <w:t>62</w:t>
      </w:r>
      <w:r w:rsidR="007C1B88" w:rsidRPr="00436976">
        <w:rPr>
          <w:lang w:val="en-GB"/>
        </w:rPr>
        <w:fldChar w:fldCharType="end"/>
      </w:r>
      <w:r w:rsidRPr="00436976">
        <w:rPr>
          <w:lang w:val="en-GB"/>
        </w:rPr>
        <w:t xml:space="preserve"> above, at § 70)</w:t>
      </w:r>
      <w:r w:rsidRPr="00436976">
        <w:rPr>
          <w:color w:val="000000"/>
          <w:lang w:val="en-GB"/>
        </w:rPr>
        <w:t xml:space="preserve">. The period under review ends on 9 December 2008, with EULEX taking over responsibility in the area of administration of justice (see § </w:t>
      </w:r>
      <w:r w:rsidR="003F2396" w:rsidRPr="00436976">
        <w:rPr>
          <w:lang w:val="en-GB"/>
        </w:rPr>
        <w:fldChar w:fldCharType="begin"/>
      </w:r>
      <w:r w:rsidR="003F2396" w:rsidRPr="00436976">
        <w:rPr>
          <w:lang w:val="en-GB"/>
        </w:rPr>
        <w:instrText xml:space="preserve"> REF _Ref346123927 \r \h  \* MERGEFORMAT </w:instrText>
      </w:r>
      <w:r w:rsidR="003F2396" w:rsidRPr="00436976">
        <w:rPr>
          <w:lang w:val="en-GB"/>
        </w:rPr>
      </w:r>
      <w:r w:rsidR="003F2396" w:rsidRPr="00436976">
        <w:rPr>
          <w:lang w:val="en-GB"/>
        </w:rPr>
        <w:fldChar w:fldCharType="separate"/>
      </w:r>
      <w:r w:rsidR="000A1CAA" w:rsidRPr="00436976">
        <w:rPr>
          <w:color w:val="000000"/>
          <w:lang w:val="en-GB"/>
        </w:rPr>
        <w:t>21</w:t>
      </w:r>
      <w:r w:rsidR="003F2396" w:rsidRPr="00436976">
        <w:rPr>
          <w:lang w:val="en-GB"/>
        </w:rPr>
        <w:fldChar w:fldCharType="end"/>
      </w:r>
      <w:r w:rsidRPr="00436976">
        <w:rPr>
          <w:color w:val="000000"/>
          <w:lang w:val="en-GB"/>
        </w:rPr>
        <w:t xml:space="preserve"> above). </w:t>
      </w:r>
    </w:p>
    <w:p w:rsidR="000A1CAA" w:rsidRPr="00436976" w:rsidRDefault="000A1CAA" w:rsidP="000A1CAA">
      <w:pPr>
        <w:pStyle w:val="ListParagraph"/>
        <w:rPr>
          <w:lang w:val="en-GB"/>
        </w:rPr>
      </w:pPr>
    </w:p>
    <w:p w:rsidR="00C74FE7" w:rsidRPr="00436976" w:rsidRDefault="00B31934" w:rsidP="000A1CAA">
      <w:pPr>
        <w:numPr>
          <w:ilvl w:val="0"/>
          <w:numId w:val="2"/>
        </w:numPr>
        <w:tabs>
          <w:tab w:val="left" w:pos="360"/>
        </w:tabs>
        <w:jc w:val="both"/>
        <w:rPr>
          <w:lang w:val="en-GB"/>
        </w:rPr>
      </w:pPr>
      <w:r w:rsidRPr="00436976">
        <w:rPr>
          <w:lang w:val="en-GB"/>
        </w:rPr>
        <w:t xml:space="preserve">With regard to </w:t>
      </w:r>
      <w:r w:rsidR="00C37EFE" w:rsidRPr="00436976">
        <w:rPr>
          <w:lang w:val="en-GB"/>
        </w:rPr>
        <w:t>Mr Ivan Majstorović and Mr Dragan Stevanović</w:t>
      </w:r>
      <w:r w:rsidR="00FF26B8" w:rsidRPr="00436976">
        <w:rPr>
          <w:lang w:val="en-GB"/>
        </w:rPr>
        <w:t xml:space="preserve">, </w:t>
      </w:r>
      <w:r w:rsidRPr="00436976">
        <w:rPr>
          <w:lang w:val="en-GB"/>
        </w:rPr>
        <w:t xml:space="preserve">the Panel notes that a missing person file </w:t>
      </w:r>
      <w:r w:rsidR="00FF26B8" w:rsidRPr="00436976">
        <w:rPr>
          <w:lang w:val="en-GB"/>
        </w:rPr>
        <w:t xml:space="preserve">was opened by the UNMIK </w:t>
      </w:r>
      <w:r w:rsidR="00FD61AE" w:rsidRPr="00436976">
        <w:rPr>
          <w:lang w:val="en-GB"/>
        </w:rPr>
        <w:t>MPU</w:t>
      </w:r>
      <w:r w:rsidRPr="00436976">
        <w:rPr>
          <w:lang w:val="en-GB"/>
        </w:rPr>
        <w:t xml:space="preserve"> in </w:t>
      </w:r>
      <w:r w:rsidR="00C37EFE" w:rsidRPr="00436976">
        <w:rPr>
          <w:lang w:val="en-GB"/>
        </w:rPr>
        <w:t>1999.</w:t>
      </w:r>
      <w:r w:rsidRPr="00436976">
        <w:rPr>
          <w:lang w:val="en-GB"/>
        </w:rPr>
        <w:t xml:space="preserve"> </w:t>
      </w:r>
      <w:r w:rsidR="00C37EFE" w:rsidRPr="00436976">
        <w:rPr>
          <w:lang w:val="en-GB"/>
        </w:rPr>
        <w:t xml:space="preserve">The </w:t>
      </w:r>
      <w:r w:rsidR="00C37EFE" w:rsidRPr="00436976">
        <w:rPr>
          <w:bCs/>
          <w:lang w:val="en-GB"/>
        </w:rPr>
        <w:t xml:space="preserve">CCIU apparently opened an investigation in 2000 </w:t>
      </w:r>
      <w:r w:rsidR="00C37EFE" w:rsidRPr="00436976">
        <w:rPr>
          <w:lang w:val="en-GB"/>
        </w:rPr>
        <w:t>(case file no. 2000-00050)</w:t>
      </w:r>
      <w:r w:rsidR="00C37EFE" w:rsidRPr="00436976">
        <w:rPr>
          <w:bCs/>
          <w:lang w:val="en-GB"/>
        </w:rPr>
        <w:t xml:space="preserve">, but no documents were provided from this time period. </w:t>
      </w:r>
      <w:r w:rsidRPr="00436976">
        <w:rPr>
          <w:lang w:val="en-GB"/>
        </w:rPr>
        <w:t>In particular, the Panel notes that</w:t>
      </w:r>
      <w:r w:rsidR="00C37EFE" w:rsidRPr="00436976">
        <w:rPr>
          <w:lang w:val="en-GB"/>
        </w:rPr>
        <w:t xml:space="preserve"> there is no evidence that</w:t>
      </w:r>
      <w:r w:rsidR="00AB6BAC" w:rsidRPr="00436976">
        <w:rPr>
          <w:lang w:val="en-GB"/>
        </w:rPr>
        <w:t xml:space="preserve"> UNMIK police </w:t>
      </w:r>
      <w:r w:rsidR="00C37EFE" w:rsidRPr="00436976">
        <w:rPr>
          <w:lang w:val="en-GB"/>
        </w:rPr>
        <w:t>ever</w:t>
      </w:r>
      <w:r w:rsidR="00AB6BAC" w:rsidRPr="00436976">
        <w:rPr>
          <w:lang w:val="en-GB"/>
        </w:rPr>
        <w:t xml:space="preserve"> took a</w:t>
      </w:r>
      <w:r w:rsidRPr="00436976">
        <w:rPr>
          <w:lang w:val="en-GB"/>
        </w:rPr>
        <w:t xml:space="preserve"> statement from</w:t>
      </w:r>
      <w:r w:rsidR="00C74FE7" w:rsidRPr="00436976">
        <w:rPr>
          <w:lang w:val="en-GB"/>
        </w:rPr>
        <w:t xml:space="preserve"> the complainant</w:t>
      </w:r>
      <w:r w:rsidR="00C37EFE" w:rsidRPr="00436976">
        <w:rPr>
          <w:lang w:val="en-GB"/>
        </w:rPr>
        <w:t>s</w:t>
      </w:r>
      <w:r w:rsidRPr="00436976">
        <w:rPr>
          <w:lang w:val="en-GB"/>
        </w:rPr>
        <w:t xml:space="preserve">, or from other potential witnesses. </w:t>
      </w:r>
      <w:r w:rsidR="00C74FE7" w:rsidRPr="00436976">
        <w:rPr>
          <w:lang w:val="en-GB"/>
        </w:rPr>
        <w:t xml:space="preserve">Thereafter, </w:t>
      </w:r>
      <w:r w:rsidR="00C376D6" w:rsidRPr="00436976">
        <w:rPr>
          <w:bCs/>
          <w:lang w:val="en-GB"/>
        </w:rPr>
        <w:t>o</w:t>
      </w:r>
      <w:r w:rsidR="00C37EFE" w:rsidRPr="00436976">
        <w:rPr>
          <w:bCs/>
          <w:lang w:val="en-GB"/>
        </w:rPr>
        <w:t xml:space="preserve">n 20 November 2003, the CCIU made a decision to close the case following a determination that the case “did not meet the level of </w:t>
      </w:r>
      <w:proofErr w:type="gramStart"/>
      <w:r w:rsidR="00C37EFE" w:rsidRPr="00436976">
        <w:rPr>
          <w:bCs/>
          <w:lang w:val="en-GB"/>
        </w:rPr>
        <w:t>either proof</w:t>
      </w:r>
      <w:proofErr w:type="gramEnd"/>
      <w:r w:rsidR="00C37EFE" w:rsidRPr="00436976">
        <w:rPr>
          <w:bCs/>
          <w:lang w:val="en-GB"/>
        </w:rPr>
        <w:t>, evidence or suspect identification to remain open.”</w:t>
      </w:r>
      <w:r w:rsidR="00C37EFE" w:rsidRPr="00436976">
        <w:rPr>
          <w:bCs/>
          <w:highlight w:val="yellow"/>
          <w:lang w:val="en-GB"/>
        </w:rPr>
        <w:t xml:space="preserve"> </w:t>
      </w:r>
    </w:p>
    <w:p w:rsidR="00B31934" w:rsidRPr="00436976" w:rsidRDefault="00B31934" w:rsidP="00B31934">
      <w:pPr>
        <w:pStyle w:val="ListParagraph"/>
        <w:rPr>
          <w:highlight w:val="yellow"/>
          <w:lang w:val="en-GB"/>
        </w:rPr>
      </w:pPr>
    </w:p>
    <w:p w:rsidR="000A1CAA" w:rsidRPr="00436976" w:rsidRDefault="00B31934" w:rsidP="000A1CAA">
      <w:pPr>
        <w:numPr>
          <w:ilvl w:val="0"/>
          <w:numId w:val="2"/>
        </w:numPr>
        <w:jc w:val="both"/>
        <w:rPr>
          <w:lang w:val="en-GB"/>
        </w:rPr>
      </w:pPr>
      <w:r w:rsidRPr="00436976">
        <w:rPr>
          <w:lang w:val="en-GB"/>
        </w:rPr>
        <w:t>Coming to the period within its jurisdiction,</w:t>
      </w:r>
      <w:r w:rsidR="00FD61AE" w:rsidRPr="00436976">
        <w:rPr>
          <w:lang w:val="en-GB"/>
        </w:rPr>
        <w:t xml:space="preserve"> starting from</w:t>
      </w:r>
      <w:r w:rsidR="00C74FE7" w:rsidRPr="00436976">
        <w:rPr>
          <w:lang w:val="en-GB"/>
        </w:rPr>
        <w:t xml:space="preserve"> 23 April 2005,</w:t>
      </w:r>
      <w:r w:rsidRPr="00436976">
        <w:rPr>
          <w:lang w:val="en-GB"/>
        </w:rPr>
        <w:t xml:space="preserve"> the Panel notes that these basic investigative steps and follow-ups had not yet been carried out, such as locating and formally interviewing the complainants and other</w:t>
      </w:r>
      <w:r w:rsidR="00C74FE7" w:rsidRPr="00436976">
        <w:rPr>
          <w:lang w:val="en-GB"/>
        </w:rPr>
        <w:t xml:space="preserve"> eye-witnesses to the abduction.</w:t>
      </w:r>
      <w:r w:rsidRPr="00436976">
        <w:rPr>
          <w:lang w:val="en-GB"/>
        </w:rPr>
        <w:t xml:space="preserve"> After that critical date the failure to conduct the necessary investigative actions persisted, thus, in accordance with the continuing obl</w:t>
      </w:r>
      <w:r w:rsidR="00C74FE7" w:rsidRPr="00436976">
        <w:rPr>
          <w:lang w:val="en-GB"/>
        </w:rPr>
        <w:t xml:space="preserve">igation to investigate (see § </w:t>
      </w:r>
      <w:r w:rsidR="007C1B88" w:rsidRPr="00436976">
        <w:rPr>
          <w:lang w:val="en-GB"/>
        </w:rPr>
        <w:fldChar w:fldCharType="begin"/>
      </w:r>
      <w:r w:rsidR="00C376D6" w:rsidRPr="00436976">
        <w:rPr>
          <w:lang w:val="en-GB"/>
        </w:rPr>
        <w:instrText xml:space="preserve"> REF _Ref361754872 \r \h </w:instrText>
      </w:r>
      <w:r w:rsidR="000A1CAA" w:rsidRPr="00436976">
        <w:rPr>
          <w:lang w:val="en-GB"/>
        </w:rPr>
        <w:instrText xml:space="preserve"> \* MERGEFORMAT </w:instrText>
      </w:r>
      <w:r w:rsidR="007C1B88" w:rsidRPr="00436976">
        <w:rPr>
          <w:lang w:val="en-GB"/>
        </w:rPr>
      </w:r>
      <w:r w:rsidR="007C1B88" w:rsidRPr="00436976">
        <w:rPr>
          <w:lang w:val="en-GB"/>
        </w:rPr>
        <w:fldChar w:fldCharType="separate"/>
      </w:r>
      <w:r w:rsidR="000E5CB5" w:rsidRPr="00436976">
        <w:rPr>
          <w:lang w:val="en-GB"/>
        </w:rPr>
        <w:t>64</w:t>
      </w:r>
      <w:r w:rsidR="007C1B88" w:rsidRPr="00436976">
        <w:rPr>
          <w:lang w:val="en-GB"/>
        </w:rPr>
        <w:fldChar w:fldCharType="end"/>
      </w:r>
      <w:r w:rsidRPr="00436976">
        <w:rPr>
          <w:lang w:val="en-GB"/>
        </w:rPr>
        <w:t xml:space="preserve"> above), bringing the assessment of the whole investigation within the period of the Panel’s jurisdiction. </w:t>
      </w:r>
    </w:p>
    <w:p w:rsidR="000A1CAA" w:rsidRPr="00436976" w:rsidRDefault="000A1CAA" w:rsidP="000A1CAA">
      <w:pPr>
        <w:pStyle w:val="ListParagraph"/>
        <w:rPr>
          <w:lang w:val="en-GB"/>
        </w:rPr>
      </w:pPr>
    </w:p>
    <w:p w:rsidR="00FD61AE" w:rsidRPr="00436976" w:rsidRDefault="00FD61AE" w:rsidP="000A1CAA">
      <w:pPr>
        <w:numPr>
          <w:ilvl w:val="0"/>
          <w:numId w:val="2"/>
        </w:numPr>
        <w:jc w:val="both"/>
        <w:rPr>
          <w:lang w:val="en-GB"/>
        </w:rPr>
      </w:pPr>
      <w:r w:rsidRPr="00436976">
        <w:rPr>
          <w:lang w:val="en-GB"/>
        </w:rPr>
        <w:t>In addition, the Panel considers that, as those responsible for the crime had not b</w:t>
      </w:r>
      <w:r w:rsidR="000A1CAA" w:rsidRPr="00436976">
        <w:rPr>
          <w:lang w:val="en-GB"/>
        </w:rPr>
        <w:t>een located, UNMIK was obliged</w:t>
      </w:r>
      <w:r w:rsidRPr="00436976">
        <w:rPr>
          <w:lang w:val="en-GB"/>
        </w:rPr>
        <w:t xml:space="preserve"> to use the means at its disposal to regularly review the progress of the investigation</w:t>
      </w:r>
      <w:r w:rsidR="00EA7EB9" w:rsidRPr="00436976">
        <w:rPr>
          <w:lang w:val="en-GB"/>
        </w:rPr>
        <w:t xml:space="preserve"> in order</w:t>
      </w:r>
      <w:r w:rsidRPr="00436976">
        <w:rPr>
          <w:lang w:val="en-GB"/>
        </w:rPr>
        <w:t xml:space="preserve"> to ensure that nothing had been overlooked and any new evidence had been considered, as well a</w:t>
      </w:r>
      <w:r w:rsidR="00DB76F7" w:rsidRPr="00436976">
        <w:rPr>
          <w:lang w:val="en-GB"/>
        </w:rPr>
        <w:t xml:space="preserve">s to inform the relatives of </w:t>
      </w:r>
      <w:r w:rsidR="00C37EFE" w:rsidRPr="00436976">
        <w:rPr>
          <w:lang w:val="en-GB"/>
        </w:rPr>
        <w:t xml:space="preserve">Mr Ivan Majstorović and Mr Dragan Stevanović </w:t>
      </w:r>
      <w:r w:rsidRPr="00436976">
        <w:rPr>
          <w:lang w:val="en-GB"/>
        </w:rPr>
        <w:t>regarding any possible new leads of enquiry. While</w:t>
      </w:r>
      <w:r w:rsidR="00B31934" w:rsidRPr="00436976">
        <w:rPr>
          <w:lang w:val="en-GB"/>
        </w:rPr>
        <w:t xml:space="preserve"> the Panel notes that, </w:t>
      </w:r>
      <w:r w:rsidR="00C37EFE" w:rsidRPr="00436976">
        <w:rPr>
          <w:lang w:val="en-GB"/>
        </w:rPr>
        <w:t>on 23</w:t>
      </w:r>
      <w:r w:rsidRPr="00436976">
        <w:rPr>
          <w:lang w:val="en-GB"/>
        </w:rPr>
        <w:t xml:space="preserve"> October 2007, the case of </w:t>
      </w:r>
      <w:r w:rsidR="00C37EFE" w:rsidRPr="00436976">
        <w:rPr>
          <w:lang w:val="en-GB"/>
        </w:rPr>
        <w:t xml:space="preserve">Mr Ivan Majstorović and Mr Dragan Stevanović </w:t>
      </w:r>
      <w:r w:rsidRPr="00436976">
        <w:rPr>
          <w:lang w:val="en-GB"/>
        </w:rPr>
        <w:t xml:space="preserve">was reviewed by </w:t>
      </w:r>
      <w:r w:rsidR="003E2101" w:rsidRPr="00436976">
        <w:rPr>
          <w:lang w:val="en-GB"/>
        </w:rPr>
        <w:t>the WCIU</w:t>
      </w:r>
      <w:r w:rsidRPr="00436976">
        <w:rPr>
          <w:lang w:val="en-GB"/>
        </w:rPr>
        <w:t xml:space="preserve"> of UNMIK Police and a case analysis report was prepared, there is no evidence that any follow-up action was carried out by UNMIK Police following the case analysis report. </w:t>
      </w:r>
    </w:p>
    <w:p w:rsidR="00B31934" w:rsidRPr="00436976" w:rsidRDefault="00B31934" w:rsidP="00FD61AE">
      <w:pPr>
        <w:suppressAutoHyphens/>
        <w:autoSpaceDE w:val="0"/>
        <w:jc w:val="both"/>
        <w:rPr>
          <w:lang w:val="en-GB"/>
        </w:rPr>
      </w:pPr>
    </w:p>
    <w:p w:rsidR="00B31934" w:rsidRPr="00436976" w:rsidRDefault="00B31934" w:rsidP="00E63CC3">
      <w:pPr>
        <w:numPr>
          <w:ilvl w:val="0"/>
          <w:numId w:val="2"/>
        </w:numPr>
        <w:tabs>
          <w:tab w:val="left" w:pos="567"/>
        </w:tabs>
        <w:suppressAutoHyphens/>
        <w:autoSpaceDE w:val="0"/>
        <w:jc w:val="both"/>
        <w:rPr>
          <w:lang w:val="en-GB"/>
        </w:rPr>
      </w:pPr>
      <w:r w:rsidRPr="00436976">
        <w:rPr>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B31934" w:rsidRPr="00436976" w:rsidRDefault="00B31934" w:rsidP="00B31934">
      <w:pPr>
        <w:suppressAutoHyphens/>
        <w:autoSpaceDE w:val="0"/>
        <w:jc w:val="both"/>
        <w:rPr>
          <w:lang w:val="en-GB"/>
        </w:rPr>
      </w:pPr>
    </w:p>
    <w:p w:rsidR="00B31934" w:rsidRPr="00436976" w:rsidRDefault="00B31934" w:rsidP="00E63CC3">
      <w:pPr>
        <w:numPr>
          <w:ilvl w:val="0"/>
          <w:numId w:val="2"/>
        </w:numPr>
        <w:tabs>
          <w:tab w:val="left" w:pos="567"/>
        </w:tabs>
        <w:suppressAutoHyphens/>
        <w:autoSpaceDE w:val="0"/>
        <w:jc w:val="both"/>
        <w:rPr>
          <w:lang w:val="en-GB"/>
        </w:rPr>
      </w:pPr>
      <w:r w:rsidRPr="00436976">
        <w:rPr>
          <w:lang w:val="en-GB"/>
        </w:rPr>
        <w:t>The Panel therefore considers that, having regard to all the circumstances of the particular case, no steps appear to have been taken by UNMIK to clarify the circumstances of</w:t>
      </w:r>
      <w:r w:rsidR="00C37EFE" w:rsidRPr="00436976">
        <w:rPr>
          <w:lang w:val="en-GB"/>
        </w:rPr>
        <w:t xml:space="preserve"> the abductions of</w:t>
      </w:r>
      <w:r w:rsidRPr="00436976">
        <w:rPr>
          <w:lang w:val="en-GB"/>
        </w:rPr>
        <w:t xml:space="preserve"> </w:t>
      </w:r>
      <w:r w:rsidR="00C37EFE" w:rsidRPr="00436976">
        <w:rPr>
          <w:lang w:val="en-GB"/>
        </w:rPr>
        <w:t>Mr Ivan Majstorović and Mr Dragan Stevanović</w:t>
      </w:r>
      <w:r w:rsidRPr="00436976">
        <w:rPr>
          <w:lang w:val="en-GB"/>
        </w:rPr>
        <w:t xml:space="preserve"> and bring the perpetrators to justice. In this sense the Panel considers that the investigation was not adequate and did not comply with the requirements of promptness, expedition and effectiveness (see § </w:t>
      </w:r>
      <w:r w:rsidR="007C1B88" w:rsidRPr="00436976">
        <w:rPr>
          <w:lang w:val="en-GB"/>
        </w:rPr>
        <w:fldChar w:fldCharType="begin"/>
      </w:r>
      <w:r w:rsidR="00FD61AE" w:rsidRPr="00436976">
        <w:rPr>
          <w:lang w:val="en-GB"/>
        </w:rPr>
        <w:instrText xml:space="preserve"> REF _Ref358368767 \r \h </w:instrText>
      </w:r>
      <w:r w:rsidR="007C1B88" w:rsidRPr="00436976">
        <w:rPr>
          <w:lang w:val="en-GB"/>
        </w:rPr>
      </w:r>
      <w:r w:rsidR="007C1B88" w:rsidRPr="00436976">
        <w:rPr>
          <w:lang w:val="en-GB"/>
        </w:rPr>
        <w:fldChar w:fldCharType="separate"/>
      </w:r>
      <w:r w:rsidR="000A2B2C" w:rsidRPr="00436976">
        <w:rPr>
          <w:lang w:val="en-GB"/>
        </w:rPr>
        <w:t>62</w:t>
      </w:r>
      <w:r w:rsidR="007C1B88" w:rsidRPr="00436976">
        <w:rPr>
          <w:lang w:val="en-GB"/>
        </w:rPr>
        <w:fldChar w:fldCharType="end"/>
      </w:r>
      <w:r w:rsidRPr="00436976">
        <w:rPr>
          <w:lang w:val="en-GB"/>
        </w:rPr>
        <w:t xml:space="preserve"> above), as required by Article 2</w:t>
      </w:r>
      <w:r w:rsidR="00EA7EB9" w:rsidRPr="00436976">
        <w:rPr>
          <w:lang w:val="en-GB"/>
        </w:rPr>
        <w:t xml:space="preserve"> of the ECHR</w:t>
      </w:r>
      <w:r w:rsidRPr="00436976">
        <w:rPr>
          <w:lang w:val="en-GB"/>
        </w:rPr>
        <w:t>.</w:t>
      </w:r>
    </w:p>
    <w:p w:rsidR="00B31934" w:rsidRPr="00436976" w:rsidRDefault="00B31934" w:rsidP="00B31934">
      <w:pPr>
        <w:suppressAutoHyphens/>
        <w:autoSpaceDE w:val="0"/>
        <w:jc w:val="both"/>
        <w:rPr>
          <w:lang w:val="en-GB"/>
        </w:rPr>
      </w:pPr>
    </w:p>
    <w:p w:rsidR="00B31934" w:rsidRPr="00436976" w:rsidRDefault="00B31934" w:rsidP="00E63CC3">
      <w:pPr>
        <w:numPr>
          <w:ilvl w:val="0"/>
          <w:numId w:val="2"/>
        </w:numPr>
        <w:tabs>
          <w:tab w:val="left" w:pos="567"/>
        </w:tabs>
        <w:suppressAutoHyphens/>
        <w:autoSpaceDE w:val="0"/>
        <w:jc w:val="both"/>
        <w:rPr>
          <w:lang w:val="en-GB"/>
        </w:rPr>
      </w:pPr>
      <w:r w:rsidRPr="00436976">
        <w:rPr>
          <w:lang w:val="en-GB"/>
        </w:rPr>
        <w:t xml:space="preserve">As concerns the requirement of public scrutiny, the Panel recalls that Article 2 also requires that in all cases the victim's next-of-kin must be involved in the investigation to the extent necessary to safeguard his or her legitimate interests (see ECtHR [GC], </w:t>
      </w:r>
      <w:r w:rsidRPr="00436976">
        <w:rPr>
          <w:i/>
          <w:lang w:val="en-GB"/>
        </w:rPr>
        <w:t>Tahsin Acar v. Turkey</w:t>
      </w:r>
      <w:r w:rsidRPr="00436976">
        <w:rPr>
          <w:lang w:val="en-GB"/>
        </w:rPr>
        <w:t xml:space="preserve">, no. 26307/95, judgment of 8 April 2004, § 226, ECHR 2004-III; ECtHR, </w:t>
      </w:r>
      <w:r w:rsidRPr="00436976">
        <w:rPr>
          <w:i/>
          <w:lang w:val="en-GB"/>
        </w:rPr>
        <w:t>Taniş v. Turkey</w:t>
      </w:r>
      <w:r w:rsidRPr="00436976">
        <w:rPr>
          <w:lang w:val="en-GB"/>
        </w:rPr>
        <w:t>, no. 65899/01, judgment of 2 August 2005, § 204, ECHR 2005-VIII).</w:t>
      </w:r>
    </w:p>
    <w:p w:rsidR="00B31934" w:rsidRPr="00436976" w:rsidRDefault="00B31934" w:rsidP="00B31934">
      <w:pPr>
        <w:pStyle w:val="ListParagraph"/>
        <w:rPr>
          <w:lang w:val="en-GB"/>
        </w:rPr>
      </w:pPr>
    </w:p>
    <w:p w:rsidR="00B31934" w:rsidRPr="00436976" w:rsidRDefault="00B31934" w:rsidP="00E63CC3">
      <w:pPr>
        <w:numPr>
          <w:ilvl w:val="0"/>
          <w:numId w:val="2"/>
        </w:numPr>
        <w:tabs>
          <w:tab w:val="left" w:pos="567"/>
        </w:tabs>
        <w:suppressAutoHyphens/>
        <w:autoSpaceDE w:val="0"/>
        <w:jc w:val="both"/>
        <w:rPr>
          <w:lang w:val="en-GB"/>
        </w:rPr>
      </w:pPr>
      <w:r w:rsidRPr="00436976">
        <w:rPr>
          <w:lang w:val="en-GB"/>
        </w:rPr>
        <w:t xml:space="preserve"> </w:t>
      </w:r>
      <w:bookmarkStart w:id="31" w:name="_Ref361997183"/>
      <w:r w:rsidR="00D90D26" w:rsidRPr="00436976">
        <w:rPr>
          <w:lang w:val="en-GB"/>
        </w:rPr>
        <w:t>In this regard, t</w:t>
      </w:r>
      <w:r w:rsidRPr="00436976">
        <w:rPr>
          <w:lang w:val="en-GB"/>
        </w:rPr>
        <w:t>he Panel notes that</w:t>
      </w:r>
      <w:r w:rsidR="00D90D26" w:rsidRPr="00436976">
        <w:rPr>
          <w:lang w:val="en-GB"/>
        </w:rPr>
        <w:t xml:space="preserve"> there has been no evidence provided showing that a</w:t>
      </w:r>
      <w:r w:rsidRPr="00436976">
        <w:rPr>
          <w:lang w:val="en-GB"/>
        </w:rPr>
        <w:t xml:space="preserve"> formal statement was ever t</w:t>
      </w:r>
      <w:r w:rsidR="00EA7EB9" w:rsidRPr="00436976">
        <w:rPr>
          <w:lang w:val="en-GB"/>
        </w:rPr>
        <w:t>aken from either complainant</w:t>
      </w:r>
      <w:r w:rsidR="00D90D26" w:rsidRPr="00436976">
        <w:rPr>
          <w:lang w:val="en-GB"/>
        </w:rPr>
        <w:t xml:space="preserve"> or that any</w:t>
      </w:r>
      <w:r w:rsidRPr="00436976">
        <w:rPr>
          <w:lang w:val="en-GB"/>
        </w:rPr>
        <w:t xml:space="preserve"> information was given to them concerning the status of the investigation. The Panel understands the complainants’ view that the extent of the information received was unsatisfactory. The Panel therefore considers that the investigations were not accessible to the complainants’ families as required by Article 2.</w:t>
      </w:r>
      <w:bookmarkEnd w:id="31"/>
    </w:p>
    <w:p w:rsidR="00B31934" w:rsidRPr="00436976" w:rsidRDefault="00B31934" w:rsidP="00B31934">
      <w:pPr>
        <w:suppressAutoHyphens/>
        <w:autoSpaceDE w:val="0"/>
        <w:ind w:left="360"/>
        <w:jc w:val="both"/>
        <w:rPr>
          <w:lang w:val="en-GB"/>
        </w:rPr>
      </w:pPr>
    </w:p>
    <w:p w:rsidR="00B31934" w:rsidRPr="00436976" w:rsidRDefault="00B31934" w:rsidP="00E63CC3">
      <w:pPr>
        <w:numPr>
          <w:ilvl w:val="0"/>
          <w:numId w:val="2"/>
        </w:numPr>
        <w:tabs>
          <w:tab w:val="left" w:pos="567"/>
        </w:tabs>
        <w:suppressAutoHyphens/>
        <w:autoSpaceDE w:val="0"/>
        <w:jc w:val="both"/>
        <w:rPr>
          <w:lang w:val="en-GB"/>
        </w:rPr>
      </w:pPr>
      <w:r w:rsidRPr="00436976">
        <w:rPr>
          <w:lang w:val="en-GB"/>
        </w:rPr>
        <w:t>In light of the deficiencies and shortcomings as described above, the Panel concludes that UNMIK failed to carry out an adequate and effective inves</w:t>
      </w:r>
      <w:r w:rsidR="000A2B2C" w:rsidRPr="00436976">
        <w:rPr>
          <w:lang w:val="en-GB"/>
        </w:rPr>
        <w:t xml:space="preserve">tigation into the abduction </w:t>
      </w:r>
      <w:r w:rsidRPr="00436976">
        <w:rPr>
          <w:lang w:val="en-GB"/>
        </w:rPr>
        <w:t>of the complainants’</w:t>
      </w:r>
      <w:r w:rsidR="00FD61AE" w:rsidRPr="00436976">
        <w:rPr>
          <w:lang w:val="en-GB"/>
        </w:rPr>
        <w:t xml:space="preserve"> brother/husband</w:t>
      </w:r>
      <w:r w:rsidRPr="00436976">
        <w:rPr>
          <w:lang w:val="en-GB"/>
        </w:rPr>
        <w:t>. There has been accordingly a violation of Article 2 of the ECHR under its procedural limb.</w:t>
      </w:r>
    </w:p>
    <w:p w:rsidR="00FD61AE" w:rsidRPr="00436976" w:rsidRDefault="00FD61AE" w:rsidP="00FD61AE">
      <w:pPr>
        <w:tabs>
          <w:tab w:val="left" w:pos="567"/>
        </w:tabs>
        <w:suppressAutoHyphens/>
        <w:autoSpaceDE w:val="0"/>
        <w:jc w:val="both"/>
        <w:rPr>
          <w:lang w:val="en-GB"/>
        </w:rPr>
      </w:pPr>
    </w:p>
    <w:p w:rsidR="00FD61AE" w:rsidRPr="00436976" w:rsidRDefault="000A2B2C" w:rsidP="000A2B2C">
      <w:pPr>
        <w:ind w:left="360" w:hanging="360"/>
        <w:contextualSpacing/>
        <w:jc w:val="both"/>
        <w:rPr>
          <w:b/>
          <w:lang w:val="en-GB"/>
        </w:rPr>
      </w:pPr>
      <w:r w:rsidRPr="00436976">
        <w:rPr>
          <w:b/>
          <w:lang w:val="en-GB"/>
        </w:rPr>
        <w:t xml:space="preserve">B.  </w:t>
      </w:r>
      <w:r w:rsidR="00FD61AE" w:rsidRPr="00436976">
        <w:rPr>
          <w:b/>
          <w:lang w:val="en-GB"/>
        </w:rPr>
        <w:t>Alleged violation of Article 3 of the ECHR</w:t>
      </w:r>
    </w:p>
    <w:p w:rsidR="00FD61AE" w:rsidRPr="00436976" w:rsidRDefault="00FD61AE" w:rsidP="00FD61AE">
      <w:pPr>
        <w:pStyle w:val="ListParagraph"/>
        <w:ind w:left="360"/>
        <w:jc w:val="both"/>
        <w:rPr>
          <w:b/>
          <w:lang w:val="en-GB"/>
        </w:rPr>
      </w:pPr>
    </w:p>
    <w:p w:rsidR="00FD61AE" w:rsidRPr="00436976" w:rsidRDefault="00FD61AE" w:rsidP="000A2B2C">
      <w:pPr>
        <w:numPr>
          <w:ilvl w:val="0"/>
          <w:numId w:val="2"/>
        </w:numPr>
        <w:tabs>
          <w:tab w:val="left" w:pos="567"/>
        </w:tabs>
        <w:suppressAutoHyphens/>
        <w:autoSpaceDE w:val="0"/>
        <w:jc w:val="both"/>
        <w:rPr>
          <w:lang w:val="en-GB"/>
        </w:rPr>
      </w:pPr>
      <w:r w:rsidRPr="00436976">
        <w:rPr>
          <w:lang w:val="en-GB"/>
        </w:rPr>
        <w:t>The Panel considers that the complainant</w:t>
      </w:r>
      <w:r w:rsidR="00D90D26" w:rsidRPr="00436976">
        <w:rPr>
          <w:lang w:val="en-GB"/>
        </w:rPr>
        <w:t>s invoke</w:t>
      </w:r>
      <w:r w:rsidRPr="00436976">
        <w:rPr>
          <w:lang w:val="en-GB"/>
        </w:rPr>
        <w:t xml:space="preserve">, in substance, a violation of the right to be free from inhumane or degrading treatment, guaranteed by Article 3 of the ECHR. </w:t>
      </w:r>
    </w:p>
    <w:p w:rsidR="00FD61AE" w:rsidRPr="00436976" w:rsidRDefault="00FD61AE" w:rsidP="00FD61AE">
      <w:pPr>
        <w:pStyle w:val="ListParagraph"/>
        <w:ind w:left="360"/>
        <w:jc w:val="both"/>
        <w:rPr>
          <w:lang w:val="en-GB"/>
        </w:rPr>
      </w:pPr>
    </w:p>
    <w:p w:rsidR="00FD61AE" w:rsidRPr="00436976" w:rsidRDefault="00FD61AE" w:rsidP="00E63CC3">
      <w:pPr>
        <w:pStyle w:val="ListParagraph"/>
        <w:numPr>
          <w:ilvl w:val="0"/>
          <w:numId w:val="8"/>
        </w:numPr>
        <w:suppressAutoHyphens w:val="0"/>
        <w:contextualSpacing/>
        <w:jc w:val="both"/>
        <w:rPr>
          <w:b/>
          <w:lang w:val="en-GB"/>
        </w:rPr>
      </w:pPr>
      <w:r w:rsidRPr="00436976">
        <w:rPr>
          <w:b/>
          <w:lang w:val="en-GB"/>
        </w:rPr>
        <w:t>The scope of the Panel’s review</w:t>
      </w:r>
    </w:p>
    <w:p w:rsidR="00FD61AE" w:rsidRPr="00436976" w:rsidRDefault="00FD61AE" w:rsidP="00FD61AE">
      <w:pPr>
        <w:pStyle w:val="ListParagraph"/>
        <w:ind w:left="360"/>
        <w:jc w:val="both"/>
        <w:rPr>
          <w:b/>
          <w:lang w:val="en-GB"/>
        </w:rPr>
      </w:pPr>
    </w:p>
    <w:p w:rsidR="00FD61AE" w:rsidRPr="00436976" w:rsidRDefault="00FD61AE" w:rsidP="000A2B2C">
      <w:pPr>
        <w:numPr>
          <w:ilvl w:val="0"/>
          <w:numId w:val="2"/>
        </w:numPr>
        <w:tabs>
          <w:tab w:val="left" w:pos="567"/>
        </w:tabs>
        <w:suppressAutoHyphens/>
        <w:autoSpaceDE w:val="0"/>
        <w:jc w:val="both"/>
        <w:rPr>
          <w:lang w:val="en-GB"/>
        </w:rPr>
      </w:pPr>
      <w:r w:rsidRPr="00436976">
        <w:rPr>
          <w:lang w:val="en-GB"/>
        </w:rPr>
        <w:t>The Panel will consider the allegations under Article 3 of the ECHR, applying the same scope of review as was set out with regard to A</w:t>
      </w:r>
      <w:bookmarkStart w:id="32" w:name="_Ref354588604"/>
      <w:r w:rsidR="00C376D6" w:rsidRPr="00436976">
        <w:rPr>
          <w:lang w:val="en-GB"/>
        </w:rPr>
        <w:t>rticle 2 (see §§ 34-39</w:t>
      </w:r>
      <w:r w:rsidRPr="00436976">
        <w:rPr>
          <w:lang w:val="en-GB"/>
        </w:rPr>
        <w:t xml:space="preserve"> above).</w:t>
      </w:r>
    </w:p>
    <w:p w:rsidR="00FD61AE" w:rsidRPr="00436976" w:rsidRDefault="00FD61AE" w:rsidP="00FD61AE">
      <w:pPr>
        <w:pStyle w:val="ListParagraph"/>
        <w:ind w:left="360"/>
        <w:jc w:val="both"/>
        <w:rPr>
          <w:lang w:val="en-GB"/>
        </w:rPr>
      </w:pPr>
    </w:p>
    <w:p w:rsidR="00FD61AE" w:rsidRPr="00436976" w:rsidRDefault="00FD61AE" w:rsidP="000A2B2C">
      <w:pPr>
        <w:numPr>
          <w:ilvl w:val="0"/>
          <w:numId w:val="2"/>
        </w:numPr>
        <w:tabs>
          <w:tab w:val="left" w:pos="567"/>
        </w:tabs>
        <w:suppressAutoHyphens/>
        <w:autoSpaceDE w:val="0"/>
        <w:jc w:val="both"/>
        <w:rPr>
          <w:lang w:val="en-GB"/>
        </w:rPr>
      </w:pPr>
      <w:bookmarkStart w:id="33" w:name="_Ref363159690"/>
      <w:r w:rsidRPr="00436976">
        <w:rPr>
          <w:lang w:val="en-GB"/>
        </w:rPr>
        <w:t xml:space="preserve">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436976">
        <w:rPr>
          <w:i/>
          <w:lang w:val="en-GB"/>
        </w:rPr>
        <w:t>Çakici v. Turkey</w:t>
      </w:r>
      <w:r w:rsidRPr="00436976">
        <w:rPr>
          <w:lang w:val="en-GB"/>
        </w:rPr>
        <w:t xml:space="preserve">, no. 23657/94, judgment of 8 July 1999, § 98, </w:t>
      </w:r>
      <w:r w:rsidRPr="00436976">
        <w:rPr>
          <w:i/>
          <w:lang w:val="en-GB"/>
        </w:rPr>
        <w:t>ECHR</w:t>
      </w:r>
      <w:r w:rsidRPr="00436976">
        <w:rPr>
          <w:lang w:val="en-GB"/>
        </w:rPr>
        <w:t xml:space="preserve">, 1999-IV; ECtHR [GC], </w:t>
      </w:r>
      <w:r w:rsidRPr="00436976">
        <w:rPr>
          <w:i/>
          <w:lang w:val="en-GB"/>
        </w:rPr>
        <w:t>Cyprus v. Turkey</w:t>
      </w:r>
      <w:r w:rsidRPr="00436976">
        <w:rPr>
          <w:lang w:val="en-GB"/>
        </w:rPr>
        <w:t xml:space="preserve">, no. 25781/94, cited in § </w:t>
      </w:r>
      <w:r w:rsidR="007C1B88" w:rsidRPr="00436976">
        <w:rPr>
          <w:lang w:val="en-GB"/>
        </w:rPr>
        <w:fldChar w:fldCharType="begin"/>
      </w:r>
      <w:r w:rsidR="0033770D" w:rsidRPr="00436976">
        <w:rPr>
          <w:lang w:val="en-GB"/>
        </w:rPr>
        <w:instrText xml:space="preserve"> REF _Ref361740164 \r \h </w:instrText>
      </w:r>
      <w:r w:rsidR="007C1B88" w:rsidRPr="00436976">
        <w:rPr>
          <w:lang w:val="en-GB"/>
        </w:rPr>
      </w:r>
      <w:r w:rsidR="007C1B88" w:rsidRPr="00436976">
        <w:rPr>
          <w:lang w:val="en-GB"/>
        </w:rPr>
        <w:fldChar w:fldCharType="separate"/>
      </w:r>
      <w:r w:rsidR="000E5CB5" w:rsidRPr="00436976">
        <w:rPr>
          <w:lang w:val="en-GB"/>
        </w:rPr>
        <w:t>39</w:t>
      </w:r>
      <w:r w:rsidR="007C1B88" w:rsidRPr="00436976">
        <w:rPr>
          <w:lang w:val="en-GB"/>
        </w:rPr>
        <w:fldChar w:fldCharType="end"/>
      </w:r>
      <w:r w:rsidRPr="00436976">
        <w:rPr>
          <w:lang w:val="en-GB"/>
        </w:rPr>
        <w:t xml:space="preserve"> above, at § 156,</w:t>
      </w:r>
      <w:r w:rsidRPr="00436976">
        <w:rPr>
          <w:i/>
          <w:lang w:val="en-GB"/>
        </w:rPr>
        <w:t xml:space="preserve"> ECHR</w:t>
      </w:r>
      <w:r w:rsidRPr="00436976">
        <w:rPr>
          <w:lang w:val="en-GB"/>
        </w:rPr>
        <w:t xml:space="preserve">, 2001-IV; ECtHR, </w:t>
      </w:r>
      <w:r w:rsidRPr="00436976">
        <w:rPr>
          <w:i/>
          <w:lang w:val="en-GB"/>
        </w:rPr>
        <w:t>Orhan v. Turkey</w:t>
      </w:r>
      <w:r w:rsidRPr="00436976">
        <w:rPr>
          <w:lang w:val="en-GB"/>
        </w:rPr>
        <w:t xml:space="preserve">, no. 25656/94, judgment of 18 June 2002, § 358; ECtHR, </w:t>
      </w:r>
      <w:r w:rsidRPr="00436976">
        <w:rPr>
          <w:i/>
          <w:lang w:val="en-GB"/>
        </w:rPr>
        <w:t>Bazorkina v. Russia</w:t>
      </w:r>
      <w:r w:rsidRPr="00436976">
        <w:rPr>
          <w:lang w:val="en-GB"/>
        </w:rPr>
        <w:t xml:space="preserve">, cited in § </w:t>
      </w:r>
      <w:r w:rsidR="007C1B88" w:rsidRPr="00436976">
        <w:rPr>
          <w:lang w:val="en-GB"/>
        </w:rPr>
        <w:fldChar w:fldCharType="begin"/>
      </w:r>
      <w:r w:rsidR="0033770D" w:rsidRPr="00436976">
        <w:rPr>
          <w:lang w:val="en-GB"/>
        </w:rPr>
        <w:instrText xml:space="preserve"> REF _Ref361756266 \r \h </w:instrText>
      </w:r>
      <w:r w:rsidR="007C1B88" w:rsidRPr="00436976">
        <w:rPr>
          <w:lang w:val="en-GB"/>
        </w:rPr>
      </w:r>
      <w:r w:rsidR="007C1B88" w:rsidRPr="00436976">
        <w:rPr>
          <w:lang w:val="en-GB"/>
        </w:rPr>
        <w:fldChar w:fldCharType="separate"/>
      </w:r>
      <w:r w:rsidR="000E5CB5" w:rsidRPr="00436976">
        <w:rPr>
          <w:lang w:val="en-GB"/>
        </w:rPr>
        <w:t>71</w:t>
      </w:r>
      <w:r w:rsidR="007C1B88" w:rsidRPr="00436976">
        <w:rPr>
          <w:lang w:val="en-GB"/>
        </w:rPr>
        <w:fldChar w:fldCharType="end"/>
      </w:r>
      <w:r w:rsidR="0033770D" w:rsidRPr="00436976">
        <w:rPr>
          <w:lang w:val="en-GB"/>
        </w:rPr>
        <w:t xml:space="preserve"> </w:t>
      </w:r>
      <w:r w:rsidRPr="00436976">
        <w:rPr>
          <w:lang w:val="en-GB"/>
        </w:rPr>
        <w:t xml:space="preserve">above, at § 139; ECtHR, </w:t>
      </w:r>
      <w:r w:rsidRPr="00436976">
        <w:rPr>
          <w:i/>
          <w:lang w:val="en-GB"/>
        </w:rPr>
        <w:t>Palić v. Bosnia and Herzegovina,</w:t>
      </w:r>
      <w:r w:rsidR="0033770D" w:rsidRPr="00436976">
        <w:rPr>
          <w:lang w:val="en-GB"/>
        </w:rPr>
        <w:t xml:space="preserve"> cited in § </w:t>
      </w:r>
      <w:r w:rsidR="007C1B88" w:rsidRPr="00436976">
        <w:rPr>
          <w:lang w:val="en-GB"/>
        </w:rPr>
        <w:fldChar w:fldCharType="begin"/>
      </w:r>
      <w:r w:rsidR="0033770D" w:rsidRPr="00436976">
        <w:rPr>
          <w:lang w:val="en-GB"/>
        </w:rPr>
        <w:instrText xml:space="preserve"> REF _Ref358368767 \r \h </w:instrText>
      </w:r>
      <w:r w:rsidR="007C1B88" w:rsidRPr="00436976">
        <w:rPr>
          <w:lang w:val="en-GB"/>
        </w:rPr>
      </w:r>
      <w:r w:rsidR="007C1B88" w:rsidRPr="00436976">
        <w:rPr>
          <w:lang w:val="en-GB"/>
        </w:rPr>
        <w:fldChar w:fldCharType="separate"/>
      </w:r>
      <w:r w:rsidR="000E5CB5" w:rsidRPr="00436976">
        <w:rPr>
          <w:lang w:val="en-GB"/>
        </w:rPr>
        <w:t>62</w:t>
      </w:r>
      <w:r w:rsidR="007C1B88" w:rsidRPr="00436976">
        <w:rPr>
          <w:lang w:val="en-GB"/>
        </w:rPr>
        <w:fldChar w:fldCharType="end"/>
      </w:r>
      <w:r w:rsidRPr="00436976">
        <w:rPr>
          <w:lang w:val="en-GB"/>
        </w:rPr>
        <w:t xml:space="preserve"> above, at § 74; ECtHR, </w:t>
      </w:r>
      <w:r w:rsidRPr="00436976">
        <w:rPr>
          <w:i/>
          <w:lang w:val="en-GB"/>
        </w:rPr>
        <w:t>Alpatu Israilova v. Russia</w:t>
      </w:r>
      <w:r w:rsidRPr="00436976">
        <w:rPr>
          <w:lang w:val="en-GB"/>
        </w:rPr>
        <w:t xml:space="preserve">, no. 15438/05, judgment of 14 March 2013, § 69; see also HRAP, </w:t>
      </w:r>
      <w:r w:rsidRPr="00436976">
        <w:rPr>
          <w:i/>
          <w:lang w:val="en-GB"/>
        </w:rPr>
        <w:t>Zdravković</w:t>
      </w:r>
      <w:r w:rsidRPr="00436976">
        <w:rPr>
          <w:lang w:val="en-GB"/>
        </w:rPr>
        <w:t xml:space="preserve">, no. 46/08, decision of 17 April 2009, § 41). “It is especially in respect of the latter that a relative may claim directly to be a victim of the authorities’ conduct” (see, among others, ECtHR, </w:t>
      </w:r>
      <w:r w:rsidRPr="00436976">
        <w:rPr>
          <w:i/>
          <w:lang w:val="en-GB"/>
        </w:rPr>
        <w:t>Er and Others v. Turkey</w:t>
      </w:r>
      <w:r w:rsidRPr="00436976">
        <w:rPr>
          <w:lang w:val="en-GB"/>
        </w:rPr>
        <w:t>, no. 23016/04, judgment of 31 July 2012, § 94).</w:t>
      </w:r>
      <w:bookmarkEnd w:id="32"/>
      <w:bookmarkEnd w:id="33"/>
    </w:p>
    <w:p w:rsidR="00FD61AE" w:rsidRPr="00436976" w:rsidRDefault="00FD61AE" w:rsidP="00FD61AE">
      <w:pPr>
        <w:pStyle w:val="ListParagraph"/>
        <w:ind w:left="360"/>
        <w:jc w:val="both"/>
        <w:rPr>
          <w:lang w:val="en-GB"/>
        </w:rPr>
      </w:pPr>
    </w:p>
    <w:p w:rsidR="00FD61AE" w:rsidRPr="00436976" w:rsidRDefault="00FD61AE" w:rsidP="000A2B2C">
      <w:pPr>
        <w:numPr>
          <w:ilvl w:val="0"/>
          <w:numId w:val="2"/>
        </w:numPr>
        <w:tabs>
          <w:tab w:val="left" w:pos="567"/>
        </w:tabs>
        <w:suppressAutoHyphens/>
        <w:autoSpaceDE w:val="0"/>
        <w:jc w:val="both"/>
        <w:rPr>
          <w:lang w:val="en-GB"/>
        </w:rPr>
      </w:pPr>
      <w:bookmarkStart w:id="34" w:name="_Ref361996833"/>
      <w:r w:rsidRPr="00436976">
        <w:rPr>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00C376D6" w:rsidRPr="00436976">
        <w:rPr>
          <w:i/>
          <w:lang w:val="en-GB"/>
        </w:rPr>
        <w:t>Gelayevy v. Russia</w:t>
      </w:r>
      <w:r w:rsidR="00C376D6" w:rsidRPr="00436976">
        <w:rPr>
          <w:lang w:val="en-GB"/>
        </w:rPr>
        <w:t>, no. 20216/07, judgment of 15 July 2010, §§ 147-148</w:t>
      </w:r>
      <w:r w:rsidRPr="00436976">
        <w:rPr>
          <w:lang w:val="en-GB"/>
        </w:rPr>
        <w:t>).</w:t>
      </w:r>
      <w:bookmarkEnd w:id="34"/>
    </w:p>
    <w:p w:rsidR="00FD61AE" w:rsidRPr="00436976" w:rsidRDefault="00FD61AE" w:rsidP="00FD61AE">
      <w:pPr>
        <w:pStyle w:val="ListParagraph"/>
        <w:ind w:left="360"/>
        <w:rPr>
          <w:lang w:val="en-GB"/>
        </w:rPr>
      </w:pPr>
    </w:p>
    <w:p w:rsidR="00FD61AE" w:rsidRPr="00436976" w:rsidRDefault="00FD61AE" w:rsidP="00E63CC3">
      <w:pPr>
        <w:pStyle w:val="ListParagraph"/>
        <w:numPr>
          <w:ilvl w:val="0"/>
          <w:numId w:val="8"/>
        </w:numPr>
        <w:suppressAutoHyphens w:val="0"/>
        <w:contextualSpacing/>
        <w:jc w:val="both"/>
        <w:rPr>
          <w:b/>
          <w:lang w:val="en-GB"/>
        </w:rPr>
      </w:pPr>
      <w:r w:rsidRPr="00436976">
        <w:rPr>
          <w:b/>
          <w:lang w:val="en-GB"/>
        </w:rPr>
        <w:t>The Parties’ submissions</w:t>
      </w:r>
    </w:p>
    <w:p w:rsidR="00FD61AE" w:rsidRPr="00436976" w:rsidRDefault="00FD61AE" w:rsidP="00FD61AE">
      <w:pPr>
        <w:pStyle w:val="ListParagraph"/>
        <w:rPr>
          <w:lang w:val="en-GB" w:eastAsia="en-US"/>
        </w:rPr>
      </w:pPr>
    </w:p>
    <w:p w:rsidR="00FD61AE" w:rsidRPr="00436976" w:rsidRDefault="00FD61AE" w:rsidP="000A2B2C">
      <w:pPr>
        <w:numPr>
          <w:ilvl w:val="0"/>
          <w:numId w:val="2"/>
        </w:numPr>
        <w:tabs>
          <w:tab w:val="left" w:pos="567"/>
        </w:tabs>
        <w:suppressAutoHyphens/>
        <w:autoSpaceDE w:val="0"/>
        <w:jc w:val="both"/>
        <w:rPr>
          <w:lang w:val="en-GB"/>
        </w:rPr>
      </w:pPr>
      <w:r w:rsidRPr="00436976">
        <w:rPr>
          <w:lang w:val="en-GB"/>
        </w:rPr>
        <w:t>The complainants allege that the lack of information and certainty surrounding the abduction</w:t>
      </w:r>
      <w:r w:rsidR="00D90D26" w:rsidRPr="00436976">
        <w:rPr>
          <w:lang w:val="en-GB"/>
        </w:rPr>
        <w:t>s</w:t>
      </w:r>
      <w:r w:rsidRPr="00436976">
        <w:rPr>
          <w:lang w:val="en-GB"/>
        </w:rPr>
        <w:t xml:space="preserve"> of </w:t>
      </w:r>
      <w:r w:rsidR="00D90D26" w:rsidRPr="00436976">
        <w:rPr>
          <w:lang w:val="en-GB"/>
        </w:rPr>
        <w:t>their son and husband</w:t>
      </w:r>
      <w:r w:rsidRPr="00436976">
        <w:rPr>
          <w:lang w:val="en-GB"/>
        </w:rPr>
        <w:t>, particularly because of UNMIK’s fai</w:t>
      </w:r>
      <w:r w:rsidR="00D90D26" w:rsidRPr="00436976">
        <w:rPr>
          <w:lang w:val="en-GB"/>
        </w:rPr>
        <w:t>lure to properly investigate the</w:t>
      </w:r>
      <w:r w:rsidRPr="00436976">
        <w:rPr>
          <w:lang w:val="en-GB"/>
        </w:rPr>
        <w:t xml:space="preserve"> abduction</w:t>
      </w:r>
      <w:r w:rsidR="00D90D26" w:rsidRPr="00436976">
        <w:rPr>
          <w:lang w:val="en-GB"/>
        </w:rPr>
        <w:t>s</w:t>
      </w:r>
      <w:r w:rsidRPr="00436976">
        <w:rPr>
          <w:lang w:val="en-GB"/>
        </w:rPr>
        <w:t xml:space="preserve">, caused mental suffering to themselves and their families. </w:t>
      </w:r>
    </w:p>
    <w:p w:rsidR="008D4588" w:rsidRPr="00436976" w:rsidRDefault="008D4588" w:rsidP="008D4588">
      <w:pPr>
        <w:tabs>
          <w:tab w:val="left" w:pos="567"/>
        </w:tabs>
        <w:suppressAutoHyphens/>
        <w:autoSpaceDE w:val="0"/>
        <w:ind w:left="360"/>
        <w:jc w:val="both"/>
        <w:rPr>
          <w:lang w:val="en-GB"/>
        </w:rPr>
      </w:pPr>
    </w:p>
    <w:p w:rsidR="008D4588" w:rsidRPr="00436976" w:rsidRDefault="008D4588" w:rsidP="000A2B2C">
      <w:pPr>
        <w:numPr>
          <w:ilvl w:val="0"/>
          <w:numId w:val="2"/>
        </w:numPr>
        <w:suppressAutoHyphens/>
        <w:autoSpaceDE w:val="0"/>
        <w:jc w:val="both"/>
        <w:rPr>
          <w:lang w:val="en-GB"/>
        </w:rPr>
      </w:pPr>
      <w:r w:rsidRPr="00436976">
        <w:rPr>
          <w:lang w:val="en-GB"/>
        </w:rPr>
        <w:t xml:space="preserve">The SRSG, rejects this allegation, stressing that there were neither assertions made by the complainants of any bad faith on the part of UNMIK personnel involved with the matter, nor evidence of any disregard for the seriousness of the matter, or the emotions of the complainants and their families emanating from the disappearance of </w:t>
      </w:r>
      <w:r w:rsidR="00D90D26" w:rsidRPr="00436976">
        <w:rPr>
          <w:lang w:val="en-GB"/>
        </w:rPr>
        <w:t>their son and husband</w:t>
      </w:r>
      <w:r w:rsidRPr="00436976">
        <w:rPr>
          <w:lang w:val="en-GB"/>
        </w:rPr>
        <w:t>.</w:t>
      </w:r>
    </w:p>
    <w:p w:rsidR="008D4588" w:rsidRPr="00436976" w:rsidRDefault="008D4588" w:rsidP="008D4588">
      <w:pPr>
        <w:pStyle w:val="Default"/>
        <w:tabs>
          <w:tab w:val="left" w:pos="360"/>
          <w:tab w:val="left" w:pos="709"/>
        </w:tabs>
        <w:ind w:left="709" w:hanging="567"/>
        <w:jc w:val="both"/>
        <w:rPr>
          <w:lang w:val="en-GB"/>
        </w:rPr>
      </w:pPr>
    </w:p>
    <w:p w:rsidR="008D4588" w:rsidRPr="00436976" w:rsidRDefault="008D4588" w:rsidP="000A2B2C">
      <w:pPr>
        <w:numPr>
          <w:ilvl w:val="0"/>
          <w:numId w:val="2"/>
        </w:numPr>
        <w:suppressAutoHyphens/>
        <w:autoSpaceDE w:val="0"/>
        <w:jc w:val="both"/>
        <w:rPr>
          <w:lang w:val="en-GB"/>
        </w:rPr>
      </w:pPr>
      <w:r w:rsidRPr="00436976">
        <w:rPr>
          <w:lang w:val="en-GB"/>
        </w:rPr>
        <w:t xml:space="preserve">The SRSG adds that the understandable and apparent mental anguish and suffering of the complainants cannot be attributed to UNMIK, but rather results from the disappearance of </w:t>
      </w:r>
      <w:r w:rsidR="00D90D26" w:rsidRPr="00436976">
        <w:rPr>
          <w:lang w:val="en-GB"/>
        </w:rPr>
        <w:t>their son and husband</w:t>
      </w:r>
      <w:r w:rsidRPr="00436976">
        <w:rPr>
          <w:lang w:val="en-GB"/>
        </w:rPr>
        <w:t>. The SRSG concludes that the complainants’ suffering lacks a character distinct from the emotional distress which may be regarded as inevitably caused to the relatives of the victims of a serious human rights violation.</w:t>
      </w:r>
    </w:p>
    <w:p w:rsidR="008D4588" w:rsidRPr="00436976" w:rsidRDefault="008D4588" w:rsidP="008D4588">
      <w:pPr>
        <w:pStyle w:val="Default"/>
        <w:tabs>
          <w:tab w:val="left" w:pos="360"/>
          <w:tab w:val="left" w:pos="540"/>
          <w:tab w:val="left" w:pos="720"/>
        </w:tabs>
        <w:jc w:val="both"/>
        <w:rPr>
          <w:lang w:val="en-GB"/>
        </w:rPr>
      </w:pPr>
    </w:p>
    <w:p w:rsidR="008D4588" w:rsidRPr="00436976" w:rsidRDefault="008D4588" w:rsidP="00E63CC3">
      <w:pPr>
        <w:pStyle w:val="ListParagraph1"/>
        <w:numPr>
          <w:ilvl w:val="0"/>
          <w:numId w:val="8"/>
        </w:numPr>
        <w:jc w:val="both"/>
        <w:rPr>
          <w:b/>
        </w:rPr>
      </w:pPr>
      <w:r w:rsidRPr="00436976">
        <w:rPr>
          <w:b/>
        </w:rPr>
        <w:t xml:space="preserve">The Panel’s assessment </w:t>
      </w:r>
    </w:p>
    <w:p w:rsidR="008D4588" w:rsidRPr="00436976" w:rsidRDefault="008D4588" w:rsidP="008D4588">
      <w:pPr>
        <w:pStyle w:val="Default"/>
        <w:tabs>
          <w:tab w:val="left" w:pos="360"/>
          <w:tab w:val="left" w:pos="540"/>
          <w:tab w:val="left" w:pos="720"/>
        </w:tabs>
        <w:jc w:val="both"/>
        <w:rPr>
          <w:lang w:val="en-GB"/>
        </w:rPr>
      </w:pPr>
    </w:p>
    <w:p w:rsidR="008D4588" w:rsidRPr="00436976" w:rsidRDefault="008D4588" w:rsidP="00E63CC3">
      <w:pPr>
        <w:pStyle w:val="ListParagraph1"/>
        <w:numPr>
          <w:ilvl w:val="0"/>
          <w:numId w:val="10"/>
        </w:numPr>
        <w:ind w:left="360"/>
        <w:jc w:val="both"/>
        <w:rPr>
          <w:i/>
          <w:color w:val="000000"/>
          <w:lang w:eastAsia="en-US"/>
        </w:rPr>
      </w:pPr>
      <w:r w:rsidRPr="00436976">
        <w:rPr>
          <w:i/>
          <w:color w:val="000000"/>
          <w:lang w:eastAsia="en-US"/>
        </w:rPr>
        <w:t>General principles concerning the obligation under Article 3</w:t>
      </w:r>
    </w:p>
    <w:p w:rsidR="008D4588" w:rsidRPr="00436976" w:rsidRDefault="008D4588" w:rsidP="008D4588">
      <w:pPr>
        <w:pStyle w:val="Default"/>
        <w:tabs>
          <w:tab w:val="left" w:pos="360"/>
          <w:tab w:val="left" w:pos="540"/>
          <w:tab w:val="left" w:pos="720"/>
        </w:tabs>
        <w:ind w:hanging="360"/>
        <w:jc w:val="both"/>
        <w:rPr>
          <w:lang w:val="en-GB"/>
        </w:rPr>
      </w:pPr>
    </w:p>
    <w:p w:rsidR="008D4588" w:rsidRPr="00436976" w:rsidRDefault="008D4588" w:rsidP="000A2B2C">
      <w:pPr>
        <w:numPr>
          <w:ilvl w:val="0"/>
          <w:numId w:val="2"/>
        </w:numPr>
        <w:suppressAutoHyphens/>
        <w:autoSpaceDE w:val="0"/>
        <w:jc w:val="both"/>
        <w:rPr>
          <w:lang w:val="en-GB"/>
        </w:rPr>
      </w:pPr>
      <w:bookmarkStart w:id="35" w:name="_Ref361997422"/>
      <w:r w:rsidRPr="00436976">
        <w:rPr>
          <w:lang w:val="en-GB"/>
        </w:rPr>
        <w:t>Like Article 2, Article 3 of the ECHR enshrines one of the most</w:t>
      </w:r>
      <w:r w:rsidRPr="00436976">
        <w:rPr>
          <w:color w:val="FF0000"/>
          <w:lang w:val="en-GB"/>
        </w:rPr>
        <w:t xml:space="preserve"> </w:t>
      </w:r>
      <w:r w:rsidRPr="00436976">
        <w:rPr>
          <w:lang w:val="en-GB"/>
        </w:rPr>
        <w:t xml:space="preserve">fundamental values in democratic societies (ECtHR, </w:t>
      </w:r>
      <w:r w:rsidRPr="00436976">
        <w:rPr>
          <w:i/>
          <w:lang w:val="en-GB"/>
        </w:rPr>
        <w:t>Talat Tepe v. Turkey</w:t>
      </w:r>
      <w:r w:rsidRPr="00436976">
        <w:rPr>
          <w:lang w:val="en-GB"/>
        </w:rPr>
        <w:t xml:space="preserve">, no. 31247/96, 21 December 2004, § 47; ECtHR [GC], </w:t>
      </w:r>
      <w:r w:rsidRPr="00436976">
        <w:rPr>
          <w:i/>
          <w:lang w:val="en-GB"/>
        </w:rPr>
        <w:t>Ilaşcu and Others v. Moldova and Russia</w:t>
      </w:r>
      <w:r w:rsidRPr="00436976">
        <w:rPr>
          <w:lang w:val="en-GB"/>
        </w:rPr>
        <w:t xml:space="preserve">, no. 48787/99, judgment of 8 July 2004, </w:t>
      </w:r>
      <w:r w:rsidRPr="00436976">
        <w:rPr>
          <w:i/>
          <w:lang w:val="en-GB"/>
        </w:rPr>
        <w:t>ECHR</w:t>
      </w:r>
      <w:r w:rsidRPr="00436976">
        <w:rPr>
          <w:lang w:val="en-GB"/>
        </w:rPr>
        <w:t>, 2004-VII, § 424). As confirmed by the absolute nature conferred on it by Article 15 § 2 of the ECHR, the prohibition of torture and inhuman and degrading treatment still applies even in most difficult circumstances.</w:t>
      </w:r>
      <w:bookmarkEnd w:id="35"/>
      <w:r w:rsidRPr="00436976">
        <w:rPr>
          <w:color w:val="0000FF"/>
          <w:lang w:val="en-GB"/>
        </w:rPr>
        <w:t xml:space="preserve"> </w:t>
      </w:r>
    </w:p>
    <w:p w:rsidR="008D4588" w:rsidRPr="00436976" w:rsidRDefault="008D4588" w:rsidP="008D4588">
      <w:pPr>
        <w:pStyle w:val="Default"/>
        <w:tabs>
          <w:tab w:val="left" w:pos="360"/>
          <w:tab w:val="left" w:pos="540"/>
          <w:tab w:val="left" w:pos="720"/>
        </w:tabs>
        <w:ind w:hanging="360"/>
        <w:jc w:val="both"/>
        <w:rPr>
          <w:lang w:val="en-GB"/>
        </w:rPr>
      </w:pPr>
    </w:p>
    <w:p w:rsidR="008D4588" w:rsidRPr="00436976" w:rsidRDefault="008D4588" w:rsidP="000A2B2C">
      <w:pPr>
        <w:numPr>
          <w:ilvl w:val="0"/>
          <w:numId w:val="2"/>
        </w:numPr>
        <w:tabs>
          <w:tab w:val="clear" w:pos="360"/>
          <w:tab w:val="num" w:pos="450"/>
        </w:tabs>
        <w:suppressAutoHyphens/>
        <w:autoSpaceDE w:val="0"/>
        <w:jc w:val="both"/>
        <w:rPr>
          <w:lang w:val="en-GB"/>
        </w:rPr>
      </w:pPr>
      <w:r w:rsidRPr="00436976">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436976">
        <w:rPr>
          <w:i/>
          <w:lang w:val="en-GB"/>
        </w:rPr>
        <w:t>Velasquez Rodriguez v. Honduras</w:t>
      </w:r>
      <w:r w:rsidRPr="00436976">
        <w:rPr>
          <w:lang w:val="en-GB"/>
        </w:rPr>
        <w:t xml:space="preserve">, cited in § </w:t>
      </w:r>
      <w:r w:rsidR="007C1B88" w:rsidRPr="00436976">
        <w:rPr>
          <w:lang w:val="en-GB"/>
        </w:rPr>
        <w:fldChar w:fldCharType="begin"/>
      </w:r>
      <w:r w:rsidRPr="00436976">
        <w:rPr>
          <w:lang w:val="en-GB"/>
        </w:rPr>
        <w:instrText xml:space="preserve"> REF _Ref358375480 \r \h </w:instrText>
      </w:r>
      <w:r w:rsidR="007C1B88" w:rsidRPr="00436976">
        <w:rPr>
          <w:lang w:val="en-GB"/>
        </w:rPr>
      </w:r>
      <w:r w:rsidR="007C1B88" w:rsidRPr="00436976">
        <w:rPr>
          <w:lang w:val="en-GB"/>
        </w:rPr>
        <w:fldChar w:fldCharType="separate"/>
      </w:r>
      <w:r w:rsidR="000A2B2C" w:rsidRPr="00436976">
        <w:rPr>
          <w:lang w:val="en-GB"/>
        </w:rPr>
        <w:t>58</w:t>
      </w:r>
      <w:r w:rsidR="007C1B88" w:rsidRPr="00436976">
        <w:rPr>
          <w:lang w:val="en-GB"/>
        </w:rPr>
        <w:fldChar w:fldCharType="end"/>
      </w:r>
      <w:r w:rsidRPr="00436976">
        <w:rPr>
          <w:lang w:val="en-GB"/>
        </w:rPr>
        <w:t xml:space="preserve"> above, at § 150).</w:t>
      </w:r>
    </w:p>
    <w:p w:rsidR="008D4588" w:rsidRPr="00436976" w:rsidRDefault="008D4588" w:rsidP="008D4588">
      <w:pPr>
        <w:pStyle w:val="Default"/>
        <w:tabs>
          <w:tab w:val="left" w:pos="360"/>
          <w:tab w:val="left" w:pos="709"/>
        </w:tabs>
        <w:ind w:left="709" w:hanging="567"/>
        <w:jc w:val="both"/>
        <w:rPr>
          <w:lang w:val="en-GB"/>
        </w:rPr>
      </w:pPr>
    </w:p>
    <w:p w:rsidR="008D4588" w:rsidRPr="00436976" w:rsidRDefault="008D4588" w:rsidP="000A2B2C">
      <w:pPr>
        <w:numPr>
          <w:ilvl w:val="0"/>
          <w:numId w:val="2"/>
        </w:numPr>
        <w:tabs>
          <w:tab w:val="clear" w:pos="360"/>
          <w:tab w:val="num" w:pos="450"/>
        </w:tabs>
        <w:suppressAutoHyphens/>
        <w:autoSpaceDE w:val="0"/>
        <w:jc w:val="both"/>
        <w:rPr>
          <w:lang w:val="en-GB"/>
        </w:rPr>
      </w:pPr>
      <w:r w:rsidRPr="00436976">
        <w:rPr>
          <w:lang w:val="en-GB"/>
        </w:rPr>
        <w:t xml:space="preserve">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 </w:t>
      </w:r>
    </w:p>
    <w:p w:rsidR="008D4588" w:rsidRPr="00436976" w:rsidRDefault="008D4588" w:rsidP="008D4588">
      <w:pPr>
        <w:pStyle w:val="Default"/>
        <w:tabs>
          <w:tab w:val="left" w:pos="360"/>
          <w:tab w:val="left" w:pos="709"/>
        </w:tabs>
        <w:jc w:val="both"/>
        <w:rPr>
          <w:lang w:val="en-GB"/>
        </w:rPr>
      </w:pPr>
    </w:p>
    <w:p w:rsidR="008D4588" w:rsidRPr="00436976" w:rsidRDefault="008D4588" w:rsidP="000A2B2C">
      <w:pPr>
        <w:pStyle w:val="Default"/>
        <w:numPr>
          <w:ilvl w:val="0"/>
          <w:numId w:val="2"/>
        </w:numPr>
        <w:tabs>
          <w:tab w:val="clear" w:pos="360"/>
          <w:tab w:val="num" w:pos="450"/>
        </w:tabs>
        <w:jc w:val="both"/>
        <w:rPr>
          <w:lang w:val="en-GB"/>
        </w:rPr>
      </w:pPr>
      <w:r w:rsidRPr="00436976">
        <w:rPr>
          <w:lang w:val="en-GB"/>
        </w:rPr>
        <w:t xml:space="preserve">The HRC has also recognised disappearances as a serious violation of human rights. In its decision of 21 July 1983, in the case </w:t>
      </w:r>
      <w:r w:rsidRPr="00436976">
        <w:rPr>
          <w:i/>
          <w:lang w:val="en-GB"/>
        </w:rPr>
        <w:t>Quinteros v. Urugay</w:t>
      </w:r>
      <w:r w:rsidRPr="00436976">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436976">
        <w:rPr>
          <w:i/>
          <w:lang w:val="en-GB"/>
        </w:rPr>
        <w:t>Mojica v. Dominican Republic</w:t>
      </w:r>
      <w:r w:rsidRPr="00436976">
        <w:rPr>
          <w:lang w:val="en-GB"/>
        </w:rPr>
        <w:t xml:space="preserve">, the HRC has deemed that “the disappearance of </w:t>
      </w:r>
      <w:r w:rsidRPr="00436976">
        <w:rPr>
          <w:color w:val="auto"/>
          <w:lang w:val="en-GB"/>
        </w:rPr>
        <w:t xml:space="preserve">persons is inseparably linked to treatment that amounts to a violation of article 7 </w:t>
      </w:r>
      <w:r w:rsidRPr="00436976">
        <w:rPr>
          <w:color w:val="auto"/>
          <w:lang w:val="en-GB"/>
        </w:rPr>
        <w:sym w:font="Symbol" w:char="F05B"/>
      </w:r>
      <w:r w:rsidRPr="00436976">
        <w:rPr>
          <w:color w:val="auto"/>
          <w:lang w:val="en-GB"/>
        </w:rPr>
        <w:t>of the Covenant</w:t>
      </w:r>
      <w:r w:rsidRPr="00436976">
        <w:rPr>
          <w:color w:val="auto"/>
          <w:lang w:val="en-GB"/>
        </w:rPr>
        <w:sym w:font="Symbol" w:char="F05D"/>
      </w:r>
      <w:r w:rsidRPr="00436976">
        <w:rPr>
          <w:color w:val="auto"/>
          <w:lang w:val="en-GB"/>
        </w:rPr>
        <w:t>”, also prohibiting torture, inhumane or degrading treatment and punishment (see</w:t>
      </w:r>
      <w:r w:rsidRPr="00436976">
        <w:rPr>
          <w:lang w:val="en-GB"/>
        </w:rPr>
        <w:t xml:space="preserve"> HRC, </w:t>
      </w:r>
      <w:r w:rsidRPr="00436976">
        <w:rPr>
          <w:bCs/>
          <w:lang w:val="en-GB"/>
        </w:rPr>
        <w:t xml:space="preserve">Communication No. 449/1991, U.N. Doc. CCPR/C/51/D/449/1991 (1994), </w:t>
      </w:r>
      <w:r w:rsidRPr="00436976">
        <w:rPr>
          <w:lang w:val="en-GB"/>
        </w:rPr>
        <w:t>§ 5.7).</w:t>
      </w:r>
    </w:p>
    <w:p w:rsidR="008D4588" w:rsidRPr="00436976" w:rsidRDefault="008D4588" w:rsidP="008D4588">
      <w:pPr>
        <w:pStyle w:val="Default"/>
        <w:tabs>
          <w:tab w:val="left" w:pos="360"/>
          <w:tab w:val="left" w:pos="709"/>
        </w:tabs>
        <w:ind w:left="709" w:hanging="567"/>
        <w:jc w:val="both"/>
        <w:rPr>
          <w:lang w:val="en-GB"/>
        </w:rPr>
      </w:pPr>
    </w:p>
    <w:p w:rsidR="008D4588" w:rsidRPr="00436976" w:rsidRDefault="008D4588" w:rsidP="000A2B2C">
      <w:pPr>
        <w:pStyle w:val="Default"/>
        <w:numPr>
          <w:ilvl w:val="0"/>
          <w:numId w:val="2"/>
        </w:numPr>
        <w:tabs>
          <w:tab w:val="clear" w:pos="360"/>
          <w:tab w:val="left" w:pos="450"/>
        </w:tabs>
        <w:jc w:val="both"/>
        <w:rPr>
          <w:lang w:val="en-GB"/>
        </w:rPr>
      </w:pPr>
      <w:r w:rsidRPr="00436976">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436976">
        <w:rPr>
          <w:lang w:val="en-GB"/>
        </w:rPr>
        <w:sym w:font="Symbol" w:char="F05B"/>
      </w:r>
      <w:r w:rsidRPr="00436976">
        <w:rPr>
          <w:lang w:val="en-GB"/>
        </w:rPr>
        <w:t>family member</w:t>
      </w:r>
      <w:r w:rsidRPr="00436976">
        <w:rPr>
          <w:lang w:val="en-GB"/>
        </w:rPr>
        <w:sym w:font="Symbol" w:char="F05D"/>
      </w:r>
      <w:r w:rsidRPr="00436976">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436976">
        <w:rPr>
          <w:i/>
          <w:lang w:val="en-GB"/>
        </w:rPr>
        <w:t>Baysayeva and Others v. Russia</w:t>
      </w:r>
      <w:r w:rsidRPr="00436976">
        <w:rPr>
          <w:lang w:val="en-GB"/>
        </w:rPr>
        <w:t xml:space="preserve">, nos. 15441/05 and 20731/04, judgment of 28 May 2009, § 159; ECtHR, </w:t>
      </w:r>
      <w:r w:rsidRPr="00436976">
        <w:rPr>
          <w:i/>
          <w:lang w:val="en-GB"/>
        </w:rPr>
        <w:t>Er and Others v. Turkey</w:t>
      </w:r>
      <w:r w:rsidRPr="00436976">
        <w:rPr>
          <w:lang w:val="en-GB"/>
        </w:rPr>
        <w:t xml:space="preserve">, cited in § </w:t>
      </w:r>
      <w:r w:rsidR="000A2B2C" w:rsidRPr="00436976">
        <w:rPr>
          <w:lang w:val="en-GB"/>
        </w:rPr>
        <w:fldChar w:fldCharType="begin"/>
      </w:r>
      <w:r w:rsidR="000A2B2C" w:rsidRPr="00436976">
        <w:rPr>
          <w:lang w:val="en-GB"/>
        </w:rPr>
        <w:instrText xml:space="preserve"> REF _Ref363159690 \r \h </w:instrText>
      </w:r>
      <w:r w:rsidR="000A2B2C" w:rsidRPr="00436976">
        <w:rPr>
          <w:lang w:val="en-GB"/>
        </w:rPr>
      </w:r>
      <w:r w:rsidR="000A2B2C" w:rsidRPr="00436976">
        <w:rPr>
          <w:lang w:val="en-GB"/>
        </w:rPr>
        <w:fldChar w:fldCharType="separate"/>
      </w:r>
      <w:r w:rsidR="000A2B2C" w:rsidRPr="00436976">
        <w:rPr>
          <w:lang w:val="en-GB"/>
        </w:rPr>
        <w:t>94</w:t>
      </w:r>
      <w:r w:rsidR="000A2B2C" w:rsidRPr="00436976">
        <w:rPr>
          <w:lang w:val="en-GB"/>
        </w:rPr>
        <w:fldChar w:fldCharType="end"/>
      </w:r>
      <w:r w:rsidRPr="00436976">
        <w:rPr>
          <w:lang w:val="en-GB"/>
        </w:rPr>
        <w:t xml:space="preserve"> above, at § 94).</w:t>
      </w:r>
    </w:p>
    <w:p w:rsidR="008D4588" w:rsidRPr="00436976" w:rsidRDefault="008D4588" w:rsidP="008D4588">
      <w:pPr>
        <w:pStyle w:val="Default"/>
        <w:ind w:left="450"/>
        <w:jc w:val="both"/>
        <w:rPr>
          <w:lang w:val="en-GB"/>
        </w:rPr>
      </w:pPr>
    </w:p>
    <w:p w:rsidR="008D4588" w:rsidRPr="00436976" w:rsidRDefault="008D4588" w:rsidP="000A2B2C">
      <w:pPr>
        <w:pStyle w:val="Default"/>
        <w:numPr>
          <w:ilvl w:val="0"/>
          <w:numId w:val="2"/>
        </w:numPr>
        <w:tabs>
          <w:tab w:val="clear" w:pos="360"/>
          <w:tab w:val="left" w:pos="450"/>
        </w:tabs>
        <w:jc w:val="both"/>
        <w:rPr>
          <w:color w:val="auto"/>
          <w:lang w:val="en-GB"/>
        </w:rPr>
      </w:pPr>
      <w:r w:rsidRPr="00436976">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436976">
        <w:rPr>
          <w:i/>
          <w:lang w:val="en-GB"/>
        </w:rPr>
        <w:t>Er and Others v. Turkey,</w:t>
      </w:r>
      <w:r w:rsidRPr="00436976">
        <w:rPr>
          <w:lang w:val="en-GB"/>
        </w:rPr>
        <w:t xml:space="preserve"> cited in § </w:t>
      </w:r>
      <w:r w:rsidR="003F2396" w:rsidRPr="00436976">
        <w:rPr>
          <w:lang w:val="en-GB"/>
        </w:rPr>
        <w:fldChar w:fldCharType="begin"/>
      </w:r>
      <w:r w:rsidR="003F2396" w:rsidRPr="00436976">
        <w:rPr>
          <w:lang w:val="en-GB"/>
        </w:rPr>
        <w:instrText xml:space="preserve"> REF _Ref354588604 \r \h  \* MERGEFORMAT </w:instrText>
      </w:r>
      <w:r w:rsidR="003F2396" w:rsidRPr="00436976">
        <w:rPr>
          <w:lang w:val="en-GB"/>
        </w:rPr>
      </w:r>
      <w:r w:rsidR="003F2396" w:rsidRPr="00436976">
        <w:rPr>
          <w:lang w:val="en-GB"/>
        </w:rPr>
        <w:fldChar w:fldCharType="separate"/>
      </w:r>
      <w:r w:rsidR="000E5CB5" w:rsidRPr="00436976">
        <w:rPr>
          <w:lang w:val="en-GB"/>
        </w:rPr>
        <w:t>93</w:t>
      </w:r>
      <w:r w:rsidR="003F2396" w:rsidRPr="00436976">
        <w:rPr>
          <w:lang w:val="en-GB"/>
        </w:rPr>
        <w:fldChar w:fldCharType="end"/>
      </w:r>
      <w:r w:rsidRPr="00436976">
        <w:rPr>
          <w:lang w:val="en-GB"/>
        </w:rPr>
        <w:t xml:space="preserve"> above, at § 96; ECtHR, </w:t>
      </w:r>
      <w:r w:rsidRPr="00436976">
        <w:rPr>
          <w:i/>
          <w:lang w:val="en-GB"/>
        </w:rPr>
        <w:t>Osmanoğlu v. Turkey,</w:t>
      </w:r>
      <w:r w:rsidRPr="00436976">
        <w:rPr>
          <w:lang w:val="en-GB"/>
        </w:rPr>
        <w:t xml:space="preserve"> no. 48804/99, judgment of 24 January 2008, § 97). Another factor leading to </w:t>
      </w:r>
      <w:r w:rsidRPr="00436976">
        <w:rPr>
          <w:color w:val="auto"/>
          <w:lang w:val="en-GB"/>
        </w:rPr>
        <w:t xml:space="preserve">a finding of violation of Article 3 of the ECHR is the continuous nature of the psychological suffering of relatives of a victim of a disappearance (ECtHR, </w:t>
      </w:r>
      <w:r w:rsidRPr="00436976">
        <w:rPr>
          <w:i/>
          <w:color w:val="auto"/>
          <w:lang w:val="en-GB"/>
        </w:rPr>
        <w:t>Salakhov and Islyamova v. Ukraine,</w:t>
      </w:r>
      <w:r w:rsidRPr="00436976">
        <w:rPr>
          <w:color w:val="auto"/>
          <w:lang w:val="en-GB"/>
        </w:rPr>
        <w:t xml:space="preserve"> no. 28005/08, judgment of 14 March 2013, § 201).</w:t>
      </w:r>
    </w:p>
    <w:p w:rsidR="008D4588" w:rsidRPr="00436976" w:rsidRDefault="008D4588" w:rsidP="008D4588">
      <w:pPr>
        <w:pStyle w:val="Default"/>
        <w:tabs>
          <w:tab w:val="left" w:pos="360"/>
          <w:tab w:val="left" w:pos="720"/>
        </w:tabs>
        <w:jc w:val="both"/>
        <w:rPr>
          <w:color w:val="auto"/>
          <w:lang w:val="en-GB"/>
        </w:rPr>
      </w:pPr>
    </w:p>
    <w:p w:rsidR="008D4588" w:rsidRPr="00436976" w:rsidRDefault="008D4588" w:rsidP="000A2B2C">
      <w:pPr>
        <w:pStyle w:val="Default"/>
        <w:numPr>
          <w:ilvl w:val="0"/>
          <w:numId w:val="2"/>
        </w:numPr>
        <w:tabs>
          <w:tab w:val="clear" w:pos="360"/>
          <w:tab w:val="num" w:pos="450"/>
        </w:tabs>
        <w:jc w:val="both"/>
        <w:rPr>
          <w:color w:val="000000" w:themeColor="text1"/>
          <w:lang w:val="en-GB"/>
        </w:rPr>
      </w:pPr>
      <w:r w:rsidRPr="00436976">
        <w:rPr>
          <w:color w:val="auto"/>
          <w:lang w:val="en-GB"/>
        </w:rPr>
        <w:t xml:space="preserve">The HRC </w:t>
      </w:r>
      <w:r w:rsidRPr="00436976">
        <w:rPr>
          <w:color w:val="000000" w:themeColor="text1"/>
          <w:lang w:val="en-GB"/>
        </w:rPr>
        <w:t>has also considered the issue and recognised family members of disappeared or missing persons as victims of a violation of Article 7 of the Covenant: parents (</w:t>
      </w:r>
      <w:r w:rsidRPr="00436976">
        <w:rPr>
          <w:i/>
          <w:color w:val="000000" w:themeColor="text1"/>
          <w:lang w:val="en-GB"/>
        </w:rPr>
        <w:t>Boucherf v. Algeria</w:t>
      </w:r>
      <w:r w:rsidRPr="00436976">
        <w:rPr>
          <w:color w:val="000000" w:themeColor="text1"/>
          <w:lang w:val="en-GB"/>
        </w:rPr>
        <w:t xml:space="preserve">, </w:t>
      </w:r>
      <w:r w:rsidRPr="00436976">
        <w:rPr>
          <w:bCs/>
          <w:color w:val="000000" w:themeColor="text1"/>
          <w:lang w:val="en-GB"/>
        </w:rPr>
        <w:t>Communication No. 1196/2003</w:t>
      </w:r>
      <w:r w:rsidRPr="00436976">
        <w:rPr>
          <w:color w:val="000000" w:themeColor="text1"/>
          <w:lang w:val="en-GB"/>
        </w:rPr>
        <w:t>, views of 30 March 2006, § 9.7, CCPR/C/86/D/1196/2003), children (</w:t>
      </w:r>
      <w:r w:rsidRPr="00436976">
        <w:rPr>
          <w:i/>
          <w:color w:val="000000" w:themeColor="text1"/>
          <w:lang w:val="en-GB"/>
        </w:rPr>
        <w:t>Zarzi v. Algeria</w:t>
      </w:r>
      <w:r w:rsidRPr="00436976">
        <w:rPr>
          <w:color w:val="000000" w:themeColor="text1"/>
          <w:lang w:val="en-GB"/>
        </w:rPr>
        <w:t xml:space="preserve">, </w:t>
      </w:r>
      <w:r w:rsidRPr="00436976">
        <w:rPr>
          <w:bCs/>
          <w:color w:val="000000" w:themeColor="text1"/>
          <w:lang w:val="en-GB"/>
        </w:rPr>
        <w:t>Communication No. 1780/2008</w:t>
      </w:r>
      <w:r w:rsidRPr="00436976">
        <w:rPr>
          <w:color w:val="000000" w:themeColor="text1"/>
          <w:lang w:val="en-GB"/>
        </w:rPr>
        <w:t xml:space="preserve">, views of 22 March 2011, § 7.6, </w:t>
      </w:r>
      <w:r w:rsidRPr="00436976">
        <w:rPr>
          <w:bCs/>
          <w:color w:val="000000" w:themeColor="text1"/>
          <w:lang w:val="en-GB"/>
        </w:rPr>
        <w:t>CCPR/C/101/D/1780/2008</w:t>
      </w:r>
      <w:r w:rsidRPr="00436976">
        <w:rPr>
          <w:color w:val="000000" w:themeColor="text1"/>
          <w:lang w:val="en-GB"/>
        </w:rPr>
        <w:t>), siblings (</w:t>
      </w:r>
      <w:r w:rsidRPr="00436976">
        <w:rPr>
          <w:i/>
          <w:color w:val="000000" w:themeColor="text1"/>
          <w:lang w:val="en-GB"/>
        </w:rPr>
        <w:t>El Abani v. Libyan Arab Jamahiriya,</w:t>
      </w:r>
      <w:r w:rsidRPr="00436976">
        <w:rPr>
          <w:color w:val="000000" w:themeColor="text1"/>
          <w:lang w:val="en-GB"/>
        </w:rPr>
        <w:t xml:space="preserve"> </w:t>
      </w:r>
      <w:r w:rsidRPr="00436976">
        <w:rPr>
          <w:bCs/>
          <w:color w:val="000000" w:themeColor="text1"/>
          <w:lang w:val="en-GB"/>
        </w:rPr>
        <w:t>Communication No. 1640/2007</w:t>
      </w:r>
      <w:r w:rsidRPr="00436976">
        <w:rPr>
          <w:color w:val="000000" w:themeColor="text1"/>
          <w:lang w:val="en-GB"/>
        </w:rPr>
        <w:t xml:space="preserve">, views of 26 July 2010, § 7.5, </w:t>
      </w:r>
      <w:r w:rsidRPr="00436976">
        <w:rPr>
          <w:bCs/>
          <w:color w:val="000000" w:themeColor="text1"/>
          <w:lang w:val="en-GB"/>
        </w:rPr>
        <w:t>CCPR/C/99/D/1640/2007</w:t>
      </w:r>
      <w:r w:rsidRPr="00436976">
        <w:rPr>
          <w:color w:val="000000" w:themeColor="text1"/>
          <w:lang w:val="en-GB"/>
        </w:rPr>
        <w:t>), spouses (</w:t>
      </w:r>
      <w:r w:rsidRPr="00436976">
        <w:rPr>
          <w:i/>
          <w:color w:val="000000" w:themeColor="text1"/>
          <w:lang w:val="en-GB"/>
        </w:rPr>
        <w:t>Bousroual v. Algeria</w:t>
      </w:r>
      <w:r w:rsidRPr="00436976">
        <w:rPr>
          <w:color w:val="000000" w:themeColor="text1"/>
          <w:lang w:val="en-GB"/>
        </w:rPr>
        <w:t xml:space="preserve">, </w:t>
      </w:r>
      <w:r w:rsidRPr="00436976">
        <w:rPr>
          <w:bCs/>
          <w:color w:val="000000" w:themeColor="text1"/>
          <w:lang w:val="en-GB"/>
        </w:rPr>
        <w:t>Communication No. 992/2001, views of</w:t>
      </w:r>
      <w:r w:rsidRPr="00436976">
        <w:rPr>
          <w:color w:val="000000" w:themeColor="text1"/>
          <w:lang w:val="en-GB"/>
        </w:rPr>
        <w:t xml:space="preserve"> 30 March 2006, § 9.8, CCPR/C/86/D/992/2001), aunts and uncles (</w:t>
      </w:r>
      <w:r w:rsidRPr="00436976">
        <w:rPr>
          <w:i/>
          <w:color w:val="000000" w:themeColor="text1"/>
          <w:lang w:val="en-GB"/>
        </w:rPr>
        <w:t>Benaziza v. Algeria</w:t>
      </w:r>
      <w:r w:rsidRPr="00436976">
        <w:rPr>
          <w:color w:val="000000" w:themeColor="text1"/>
          <w:lang w:val="en-GB"/>
        </w:rPr>
        <w:t xml:space="preserve">, cited in § </w:t>
      </w:r>
      <w:r w:rsidR="003F2396" w:rsidRPr="00436976">
        <w:rPr>
          <w:lang w:val="en-GB"/>
        </w:rPr>
        <w:fldChar w:fldCharType="begin"/>
      </w:r>
      <w:r w:rsidR="003F2396" w:rsidRPr="00436976">
        <w:rPr>
          <w:lang w:val="en-GB"/>
        </w:rPr>
        <w:instrText xml:space="preserve"> REF _Ref354502773 \r \h  \* MERGEFORMAT </w:instrText>
      </w:r>
      <w:r w:rsidR="003F2396" w:rsidRPr="00436976">
        <w:rPr>
          <w:lang w:val="en-GB"/>
        </w:rPr>
      </w:r>
      <w:r w:rsidR="003F2396" w:rsidRPr="00436976">
        <w:rPr>
          <w:lang w:val="en-GB"/>
        </w:rPr>
        <w:fldChar w:fldCharType="separate"/>
      </w:r>
      <w:r w:rsidR="000E5CB5" w:rsidRPr="00436976">
        <w:rPr>
          <w:color w:val="000000" w:themeColor="text1"/>
          <w:lang w:val="en-GB"/>
        </w:rPr>
        <w:t>55</w:t>
      </w:r>
      <w:r w:rsidR="003F2396" w:rsidRPr="00436976">
        <w:rPr>
          <w:lang w:val="en-GB"/>
        </w:rPr>
        <w:fldChar w:fldCharType="end"/>
      </w:r>
      <w:r w:rsidRPr="00436976">
        <w:rPr>
          <w:color w:val="000000" w:themeColor="text1"/>
          <w:lang w:val="en-GB"/>
        </w:rPr>
        <w:t xml:space="preserve"> above, at § 10), grandchildren (</w:t>
      </w:r>
      <w:r w:rsidRPr="00436976">
        <w:rPr>
          <w:i/>
          <w:color w:val="000000" w:themeColor="text1"/>
          <w:lang w:val="en-GB"/>
        </w:rPr>
        <w:t>ibid.</w:t>
      </w:r>
      <w:r w:rsidRPr="00436976">
        <w:rPr>
          <w:color w:val="000000" w:themeColor="text1"/>
          <w:lang w:val="en-GB"/>
        </w:rPr>
        <w:t>) and even cousins (</w:t>
      </w:r>
      <w:r w:rsidRPr="00436976">
        <w:rPr>
          <w:i/>
          <w:color w:val="000000" w:themeColor="text1"/>
          <w:lang w:val="en-GB"/>
        </w:rPr>
        <w:t>Bashasha v. Libyan Arab Jamahiriya</w:t>
      </w:r>
      <w:r w:rsidRPr="00436976">
        <w:rPr>
          <w:color w:val="000000" w:themeColor="text1"/>
          <w:lang w:val="en-GB"/>
        </w:rPr>
        <w:t xml:space="preserve">, cited in § </w:t>
      </w:r>
      <w:r w:rsidR="003F2396" w:rsidRPr="00436976">
        <w:rPr>
          <w:lang w:val="en-GB"/>
        </w:rPr>
        <w:fldChar w:fldCharType="begin"/>
      </w:r>
      <w:r w:rsidR="003F2396" w:rsidRPr="00436976">
        <w:rPr>
          <w:lang w:val="en-GB"/>
        </w:rPr>
        <w:instrText xml:space="preserve"> REF _Ref354502773 \r \h  \* MERGEFORMAT </w:instrText>
      </w:r>
      <w:r w:rsidR="003F2396" w:rsidRPr="00436976">
        <w:rPr>
          <w:lang w:val="en-GB"/>
        </w:rPr>
      </w:r>
      <w:r w:rsidR="003F2396" w:rsidRPr="00436976">
        <w:rPr>
          <w:lang w:val="en-GB"/>
        </w:rPr>
        <w:fldChar w:fldCharType="separate"/>
      </w:r>
      <w:r w:rsidR="000E5CB5" w:rsidRPr="00436976">
        <w:rPr>
          <w:color w:val="000000" w:themeColor="text1"/>
          <w:lang w:val="en-GB"/>
        </w:rPr>
        <w:t>55</w:t>
      </w:r>
      <w:r w:rsidR="003F2396" w:rsidRPr="00436976">
        <w:rPr>
          <w:lang w:val="en-GB"/>
        </w:rPr>
        <w:fldChar w:fldCharType="end"/>
      </w:r>
      <w:r w:rsidRPr="00436976">
        <w:rPr>
          <w:color w:val="000000" w:themeColor="text1"/>
          <w:lang w:val="en-GB"/>
        </w:rPr>
        <w:t xml:space="preserve"> above, at § 7.5).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436976">
        <w:rPr>
          <w:i/>
          <w:color w:val="000000" w:themeColor="text1"/>
          <w:lang w:val="en-GB"/>
        </w:rPr>
        <w:t>Aboussedra v. Libyan Arab Jamahiriya</w:t>
      </w:r>
      <w:r w:rsidRPr="00436976">
        <w:rPr>
          <w:color w:val="000000" w:themeColor="text1"/>
          <w:lang w:val="en-GB"/>
        </w:rPr>
        <w:t xml:space="preserve">, </w:t>
      </w:r>
      <w:r w:rsidRPr="00436976">
        <w:rPr>
          <w:bCs/>
          <w:color w:val="000000" w:themeColor="text1"/>
          <w:lang w:val="en-GB"/>
        </w:rPr>
        <w:t>Communication No. 1751/2008,</w:t>
      </w:r>
      <w:r w:rsidRPr="00436976">
        <w:rPr>
          <w:color w:val="000000" w:themeColor="text1"/>
          <w:lang w:val="en-GB"/>
        </w:rPr>
        <w:t xml:space="preserve"> views of 25 October 2010, § 7.5, </w:t>
      </w:r>
      <w:r w:rsidRPr="00436976">
        <w:rPr>
          <w:bCs/>
          <w:color w:val="000000" w:themeColor="text1"/>
          <w:lang w:val="en-GB"/>
        </w:rPr>
        <w:t>CCPR/C/100/D/1751/2008</w:t>
      </w:r>
      <w:r w:rsidRPr="00436976">
        <w:rPr>
          <w:color w:val="000000" w:themeColor="text1"/>
          <w:lang w:val="en-GB"/>
        </w:rPr>
        <w:t xml:space="preserve">). In the </w:t>
      </w:r>
      <w:r w:rsidRPr="00436976">
        <w:rPr>
          <w:i/>
          <w:color w:val="000000" w:themeColor="text1"/>
          <w:lang w:val="en-GB"/>
        </w:rPr>
        <w:t>Amirov v. Russian Federation</w:t>
      </w:r>
      <w:r w:rsidRPr="00436976">
        <w:rPr>
          <w:color w:val="000000" w:themeColor="text1"/>
          <w:lang w:val="en-GB"/>
        </w:rPr>
        <w:t xml:space="preserve"> the Committee observed that “</w:t>
      </w:r>
      <w:r w:rsidRPr="00436976">
        <w:rPr>
          <w:color w:val="000000" w:themeColor="text1"/>
          <w:lang w:val="en-GB"/>
        </w:rPr>
        <w:sym w:font="Symbol" w:char="F05B"/>
      </w:r>
      <w:r w:rsidRPr="00436976">
        <w:rPr>
          <w:color w:val="000000" w:themeColor="text1"/>
          <w:lang w:val="en-GB"/>
        </w:rPr>
        <w:t>w</w:t>
      </w:r>
      <w:r w:rsidRPr="00436976">
        <w:rPr>
          <w:color w:val="000000" w:themeColor="text1"/>
          <w:lang w:val="en-GB"/>
        </w:rPr>
        <w:sym w:font="Symbol" w:char="F05D"/>
      </w:r>
      <w:r w:rsidRPr="00436976">
        <w:rPr>
          <w:color w:val="000000" w:themeColor="text1"/>
          <w:lang w:val="en-GB"/>
        </w:rPr>
        <w:t>ithout wishing to spell out all the circumstances of indirect victimisation, the Committee considers that the failure</w:t>
      </w:r>
      <w:r w:rsidRPr="00436976">
        <w:rPr>
          <w:color w:val="auto"/>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w:t>
      </w:r>
      <w:r w:rsidRPr="00436976">
        <w:rPr>
          <w:color w:val="000000" w:themeColor="text1"/>
          <w:lang w:val="en-GB"/>
        </w:rPr>
        <w:t>violated” (</w:t>
      </w:r>
      <w:r w:rsidRPr="00436976">
        <w:rPr>
          <w:i/>
          <w:color w:val="000000" w:themeColor="text1"/>
          <w:lang w:val="en-GB"/>
        </w:rPr>
        <w:t>Amirov v. Russian Federation</w:t>
      </w:r>
      <w:r w:rsidRPr="00436976">
        <w:rPr>
          <w:color w:val="000000" w:themeColor="text1"/>
          <w:lang w:val="en-GB"/>
        </w:rPr>
        <w:t xml:space="preserve"> Communication No. 1447/2006, views of 2 April 2009, § 11.7, CCPR/C/95/D/1447/2006).</w:t>
      </w:r>
    </w:p>
    <w:p w:rsidR="008D4588" w:rsidRPr="00436976" w:rsidRDefault="008D4588" w:rsidP="008D4588">
      <w:pPr>
        <w:pStyle w:val="Default"/>
        <w:tabs>
          <w:tab w:val="left" w:pos="360"/>
          <w:tab w:val="left" w:pos="720"/>
        </w:tabs>
        <w:jc w:val="both"/>
        <w:rPr>
          <w:color w:val="auto"/>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color w:val="auto"/>
          <w:lang w:val="en-GB"/>
        </w:rPr>
        <w:t xml:space="preserve">The Panel also takes into account that the European Court of Human Rights has determined that its analysis of the authorities’ reaction is “not confined to any specific manifestation of the authorities’ attitudes, isolated incidents or procedural acts; on the contrary, the Court gives a global and continuous assessment of the way in which the authorities of the respondent State responded to the applicants’ enquiries” (see ECtHR, </w:t>
      </w:r>
      <w:r w:rsidRPr="00436976">
        <w:rPr>
          <w:i/>
          <w:color w:val="auto"/>
          <w:lang w:val="en-GB"/>
        </w:rPr>
        <w:t>Janowiec and Others v. Russia</w:t>
      </w:r>
      <w:r w:rsidRPr="00436976">
        <w:rPr>
          <w:color w:val="auto"/>
          <w:lang w:val="en-GB"/>
        </w:rPr>
        <w:t>, nos. 55508/07 and</w:t>
      </w:r>
      <w:r w:rsidRPr="00436976">
        <w:rPr>
          <w:lang w:val="en-GB"/>
        </w:rPr>
        <w:t xml:space="preserve"> 29520/09, judgment of 16 April 2012, § 152). </w:t>
      </w:r>
    </w:p>
    <w:p w:rsidR="008D4588" w:rsidRPr="00436976" w:rsidRDefault="008D4588" w:rsidP="005430D1">
      <w:pPr>
        <w:pStyle w:val="Default"/>
        <w:tabs>
          <w:tab w:val="num" w:pos="450"/>
          <w:tab w:val="left" w:pos="709"/>
        </w:tabs>
        <w:ind w:left="709" w:hanging="567"/>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 xml:space="preserve">In this respect, it is the position of the European Court that findings under the procedural limb of Article 2 would also be of direct relevance in considering the existence of a violation of Article 3 (see ECtHR, </w:t>
      </w:r>
      <w:r w:rsidRPr="00436976">
        <w:rPr>
          <w:i/>
          <w:lang w:val="en-GB"/>
        </w:rPr>
        <w:t>Basayeva and Others v. Russia</w:t>
      </w:r>
      <w:r w:rsidRPr="00436976">
        <w:rPr>
          <w:lang w:val="en-GB"/>
        </w:rPr>
        <w:t xml:space="preserve">, nos. 15441/05 and 20731/04, judgment of 28 May 2009, § 109; ECtHR, </w:t>
      </w:r>
      <w:r w:rsidRPr="00436976">
        <w:rPr>
          <w:i/>
          <w:lang w:val="en-GB"/>
        </w:rPr>
        <w:t>Gelayevy v. Russia</w:t>
      </w:r>
      <w:r w:rsidRPr="00436976">
        <w:rPr>
          <w:lang w:val="en-GB"/>
        </w:rPr>
        <w:t xml:space="preserve">, no. 20216/07, </w:t>
      </w:r>
      <w:r w:rsidR="00C376D6" w:rsidRPr="00436976">
        <w:rPr>
          <w:lang w:val="en-GB"/>
        </w:rPr>
        <w:t xml:space="preserve">cited in § </w:t>
      </w:r>
      <w:r w:rsidR="007C1B88" w:rsidRPr="00436976">
        <w:rPr>
          <w:lang w:val="en-GB"/>
        </w:rPr>
        <w:fldChar w:fldCharType="begin"/>
      </w:r>
      <w:r w:rsidR="00C376D6" w:rsidRPr="00436976">
        <w:rPr>
          <w:lang w:val="en-GB"/>
        </w:rPr>
        <w:instrText xml:space="preserve"> REF _Ref361996833 \r \h </w:instrText>
      </w:r>
      <w:r w:rsidR="007C1B88" w:rsidRPr="00436976">
        <w:rPr>
          <w:lang w:val="en-GB"/>
        </w:rPr>
      </w:r>
      <w:r w:rsidR="007C1B88" w:rsidRPr="00436976">
        <w:rPr>
          <w:lang w:val="en-GB"/>
        </w:rPr>
        <w:fldChar w:fldCharType="separate"/>
      </w:r>
      <w:r w:rsidR="00703BFB" w:rsidRPr="00436976">
        <w:rPr>
          <w:lang w:val="en-GB"/>
        </w:rPr>
        <w:t>95</w:t>
      </w:r>
      <w:r w:rsidR="007C1B88" w:rsidRPr="00436976">
        <w:rPr>
          <w:lang w:val="en-GB"/>
        </w:rPr>
        <w:fldChar w:fldCharType="end"/>
      </w:r>
      <w:r w:rsidRPr="00436976">
        <w:rPr>
          <w:lang w:val="en-GB"/>
        </w:rPr>
        <w:t xml:space="preserve">, </w:t>
      </w:r>
      <w:r w:rsidR="00C376D6" w:rsidRPr="00436976">
        <w:rPr>
          <w:lang w:val="en-GB"/>
        </w:rPr>
        <w:t xml:space="preserve">at </w:t>
      </w:r>
      <w:r w:rsidRPr="00436976">
        <w:rPr>
          <w:lang w:val="en-GB"/>
        </w:rPr>
        <w:t xml:space="preserve">§ 147; ECtHR, </w:t>
      </w:r>
      <w:r w:rsidRPr="00436976">
        <w:rPr>
          <w:i/>
          <w:lang w:val="en-GB"/>
        </w:rPr>
        <w:t>Bazorkina v. Russia</w:t>
      </w:r>
      <w:r w:rsidRPr="00436976">
        <w:rPr>
          <w:lang w:val="en-GB"/>
        </w:rPr>
        <w:t xml:space="preserve">, cited in § </w:t>
      </w:r>
      <w:r w:rsidR="007C1B88" w:rsidRPr="00436976">
        <w:rPr>
          <w:lang w:val="en-GB"/>
        </w:rPr>
        <w:fldChar w:fldCharType="begin"/>
      </w:r>
      <w:r w:rsidR="0033770D" w:rsidRPr="00436976">
        <w:rPr>
          <w:lang w:val="en-GB"/>
        </w:rPr>
        <w:instrText xml:space="preserve"> REF _Ref361756266 \r \h </w:instrText>
      </w:r>
      <w:r w:rsidR="007C1B88" w:rsidRPr="00436976">
        <w:rPr>
          <w:lang w:val="en-GB"/>
        </w:rPr>
      </w:r>
      <w:r w:rsidR="007C1B88" w:rsidRPr="00436976">
        <w:rPr>
          <w:lang w:val="en-GB"/>
        </w:rPr>
        <w:fldChar w:fldCharType="separate"/>
      </w:r>
      <w:r w:rsidR="000E5CB5" w:rsidRPr="00436976">
        <w:rPr>
          <w:lang w:val="en-GB"/>
        </w:rPr>
        <w:t>71</w:t>
      </w:r>
      <w:r w:rsidR="007C1B88" w:rsidRPr="00436976">
        <w:rPr>
          <w:lang w:val="en-GB"/>
        </w:rPr>
        <w:fldChar w:fldCharType="end"/>
      </w:r>
      <w:r w:rsidRPr="00436976">
        <w:rPr>
          <w:lang w:val="en-GB"/>
        </w:rPr>
        <w:t xml:space="preserve"> above, at § 140).</w:t>
      </w:r>
    </w:p>
    <w:p w:rsidR="008D4588" w:rsidRPr="00436976" w:rsidRDefault="008D4588" w:rsidP="005430D1">
      <w:pPr>
        <w:pStyle w:val="Default"/>
        <w:tabs>
          <w:tab w:val="num" w:pos="450"/>
          <w:tab w:val="left" w:pos="540"/>
          <w:tab w:val="left" w:pos="720"/>
        </w:tabs>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 xml:space="preserve">The Panel observes that the European Court has already found violations of Article 3 of the ECHR in relation to disappearances in which the State itself was found to be responsible for the abduction (see ECtHR, </w:t>
      </w:r>
      <w:r w:rsidRPr="00436976">
        <w:rPr>
          <w:i/>
          <w:lang w:val="en-GB"/>
        </w:rPr>
        <w:t>Luluyev and Others v. Russia</w:t>
      </w:r>
      <w:r w:rsidRPr="00436976">
        <w:rPr>
          <w:lang w:val="en-GB"/>
        </w:rPr>
        <w:t xml:space="preserve">, no. 69480/01, judgment of 9 November 2006, §§ 117-118; ECtHR, </w:t>
      </w:r>
      <w:r w:rsidRPr="00436976">
        <w:rPr>
          <w:i/>
          <w:lang w:val="en-GB"/>
        </w:rPr>
        <w:t>Kukayev v. Russia</w:t>
      </w:r>
      <w:r w:rsidRPr="00436976">
        <w:rPr>
          <w:lang w:val="en-GB"/>
        </w:rPr>
        <w:t xml:space="preserve">,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 </w:t>
      </w:r>
    </w:p>
    <w:p w:rsidR="008D4588" w:rsidRPr="00436976" w:rsidRDefault="008D4588" w:rsidP="005430D1">
      <w:pPr>
        <w:pStyle w:val="Default"/>
        <w:tabs>
          <w:tab w:val="num" w:pos="450"/>
          <w:tab w:val="left" w:pos="709"/>
        </w:tabs>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436976">
        <w:rPr>
          <w:rStyle w:val="sb8d990e2"/>
          <w:color w:val="auto"/>
          <w:lang w:val="en-GB"/>
        </w:rPr>
        <w:t>could have in itself</w:t>
      </w:r>
      <w:r w:rsidRPr="00436976">
        <w:rPr>
          <w:b/>
          <w:lang w:val="en-GB"/>
        </w:rPr>
        <w:t xml:space="preserve"> </w:t>
      </w:r>
      <w:r w:rsidRPr="00436976">
        <w:rPr>
          <w:lang w:val="en-GB"/>
        </w:rPr>
        <w:t xml:space="preserve"> caused the applicant mental distress in excess of the minimum level of severity, which is necessary in order to consider treatment as falling within the scope of Article 3 (see, among others, ECtHR, </w:t>
      </w:r>
      <w:r w:rsidRPr="00436976">
        <w:rPr>
          <w:i/>
          <w:lang w:val="en-GB"/>
        </w:rPr>
        <w:t>Tovsultanova v. Russia</w:t>
      </w:r>
      <w:r w:rsidRPr="00436976">
        <w:rPr>
          <w:lang w:val="en-GB"/>
        </w:rPr>
        <w:t xml:space="preserve">, no. 26974/06, judgment of 17 June 2010, § 104; ECtHR, </w:t>
      </w:r>
      <w:r w:rsidRPr="00436976">
        <w:rPr>
          <w:i/>
          <w:lang w:val="en-GB"/>
        </w:rPr>
        <w:t>Shafiyeva v. Russia</w:t>
      </w:r>
      <w:r w:rsidRPr="00436976">
        <w:rPr>
          <w:lang w:val="en-GB"/>
        </w:rPr>
        <w:t>, no. 49379/09, judgment of 3 May 2012, § 103).</w:t>
      </w:r>
    </w:p>
    <w:p w:rsidR="008D4588" w:rsidRPr="00436976" w:rsidRDefault="008D4588" w:rsidP="005430D1">
      <w:pPr>
        <w:pStyle w:val="Default"/>
        <w:tabs>
          <w:tab w:val="num" w:pos="450"/>
          <w:tab w:val="left" w:pos="720"/>
        </w:tabs>
        <w:ind w:left="142"/>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Finally, with regard to the issue of burden of proof, the Panel refers to what it has said under Article 2 (see above, §§</w:t>
      </w:r>
      <w:r w:rsidR="0033770D" w:rsidRPr="00436976">
        <w:rPr>
          <w:lang w:val="en-GB"/>
        </w:rPr>
        <w:t xml:space="preserve"> </w:t>
      </w:r>
      <w:r w:rsidR="00DE2F99" w:rsidRPr="00436976">
        <w:rPr>
          <w:lang w:val="en-GB"/>
        </w:rPr>
        <w:t>54</w:t>
      </w:r>
      <w:r w:rsidR="0033770D" w:rsidRPr="00436976">
        <w:rPr>
          <w:lang w:val="en-GB"/>
        </w:rPr>
        <w:t>-5</w:t>
      </w:r>
      <w:r w:rsidR="00DE2F99" w:rsidRPr="00436976">
        <w:rPr>
          <w:lang w:val="en-GB"/>
        </w:rPr>
        <w:t>7</w:t>
      </w:r>
      <w:r w:rsidRPr="00436976">
        <w:rPr>
          <w:lang w:val="en-GB"/>
        </w:rPr>
        <w:t>).</w:t>
      </w:r>
    </w:p>
    <w:p w:rsidR="008D4588" w:rsidRPr="00436976" w:rsidRDefault="008D4588" w:rsidP="005430D1">
      <w:pPr>
        <w:pStyle w:val="Default"/>
        <w:tabs>
          <w:tab w:val="num" w:pos="450"/>
          <w:tab w:val="left" w:pos="720"/>
        </w:tabs>
        <w:ind w:left="709"/>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Taking note of that position, the Panel considers that in this situation it may draw strong inferences from the available established facts relevant to the complaint before it.</w:t>
      </w:r>
    </w:p>
    <w:p w:rsidR="008D4588" w:rsidRPr="00436976" w:rsidRDefault="008D4588" w:rsidP="005430D1">
      <w:pPr>
        <w:pStyle w:val="Default"/>
        <w:tabs>
          <w:tab w:val="num" w:pos="450"/>
          <w:tab w:val="left" w:pos="540"/>
          <w:tab w:val="left" w:pos="720"/>
        </w:tabs>
        <w:jc w:val="both"/>
        <w:rPr>
          <w:lang w:val="en-GB"/>
        </w:rPr>
      </w:pPr>
    </w:p>
    <w:p w:rsidR="008D4588" w:rsidRPr="00436976" w:rsidRDefault="008D4588" w:rsidP="005430D1">
      <w:pPr>
        <w:pStyle w:val="ListParagraph1"/>
        <w:numPr>
          <w:ilvl w:val="0"/>
          <w:numId w:val="10"/>
        </w:numPr>
        <w:tabs>
          <w:tab w:val="num" w:pos="450"/>
        </w:tabs>
        <w:ind w:left="360"/>
        <w:jc w:val="both"/>
        <w:rPr>
          <w:i/>
          <w:color w:val="000000"/>
          <w:lang w:eastAsia="en-US"/>
        </w:rPr>
      </w:pPr>
      <w:r w:rsidRPr="00436976">
        <w:rPr>
          <w:i/>
          <w:color w:val="000000"/>
          <w:lang w:eastAsia="en-US"/>
        </w:rPr>
        <w:t>Applicability of Article 3 to the Kosovo context</w:t>
      </w:r>
    </w:p>
    <w:p w:rsidR="008D4588" w:rsidRPr="00436976" w:rsidRDefault="008D4588" w:rsidP="005430D1">
      <w:pPr>
        <w:pStyle w:val="Default"/>
        <w:tabs>
          <w:tab w:val="num" w:pos="450"/>
          <w:tab w:val="left" w:pos="540"/>
          <w:tab w:val="left" w:pos="720"/>
        </w:tabs>
        <w:ind w:hanging="360"/>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 xml:space="preserve">With regard to the applicability of the above standards to the Kosovo context, the Panel first refers to its view on the same issue with regard to Article 2, developed above (see §§ </w:t>
      </w:r>
      <w:r w:rsidR="00DE2F99" w:rsidRPr="00436976">
        <w:rPr>
          <w:lang w:val="en-GB"/>
        </w:rPr>
        <w:t>66</w:t>
      </w:r>
      <w:r w:rsidRPr="00436976">
        <w:rPr>
          <w:lang w:val="en-GB"/>
        </w:rPr>
        <w:t>-</w:t>
      </w:r>
      <w:r w:rsidR="00DE2F99" w:rsidRPr="00436976">
        <w:rPr>
          <w:lang w:val="en-GB"/>
        </w:rPr>
        <w:t>75</w:t>
      </w:r>
      <w:r w:rsidRPr="00436976">
        <w:rPr>
          <w:lang w:val="en-GB"/>
        </w:rPr>
        <w:t>).</w:t>
      </w:r>
    </w:p>
    <w:p w:rsidR="008D4588" w:rsidRPr="00436976" w:rsidRDefault="008D4588" w:rsidP="005430D1">
      <w:pPr>
        <w:pStyle w:val="Default"/>
        <w:tabs>
          <w:tab w:val="num" w:pos="450"/>
          <w:tab w:val="left" w:pos="709"/>
        </w:tabs>
        <w:ind w:left="142"/>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3F2396" w:rsidRPr="00436976">
        <w:rPr>
          <w:lang w:val="en-GB"/>
        </w:rPr>
        <w:fldChar w:fldCharType="begin"/>
      </w:r>
      <w:r w:rsidR="003F2396" w:rsidRPr="00436976">
        <w:rPr>
          <w:lang w:val="en-GB"/>
        </w:rPr>
        <w:instrText xml:space="preserve"> REF _Ref346123767 \r \h  \* MERGEFORMAT </w:instrText>
      </w:r>
      <w:r w:rsidR="003F2396" w:rsidRPr="00436976">
        <w:rPr>
          <w:lang w:val="en-GB"/>
        </w:rPr>
      </w:r>
      <w:r w:rsidR="003F2396" w:rsidRPr="00436976">
        <w:rPr>
          <w:lang w:val="en-GB"/>
        </w:rPr>
        <w:fldChar w:fldCharType="separate"/>
      </w:r>
      <w:r w:rsidR="000E5CB5" w:rsidRPr="00436976">
        <w:rPr>
          <w:lang w:val="en-GB"/>
        </w:rPr>
        <w:t>19</w:t>
      </w:r>
      <w:r w:rsidR="003F2396" w:rsidRPr="00436976">
        <w:rPr>
          <w:lang w:val="en-GB"/>
        </w:rPr>
        <w:fldChar w:fldCharType="end"/>
      </w:r>
      <w:r w:rsidRPr="00436976">
        <w:rPr>
          <w:lang w:val="en-GB"/>
        </w:rPr>
        <w:t xml:space="preserve"> above).</w:t>
      </w:r>
    </w:p>
    <w:p w:rsidR="008D4588" w:rsidRPr="00436976" w:rsidRDefault="008D4588" w:rsidP="005430D1">
      <w:pPr>
        <w:pStyle w:val="Default"/>
        <w:tabs>
          <w:tab w:val="num" w:pos="450"/>
          <w:tab w:val="left" w:pos="709"/>
        </w:tabs>
        <w:ind w:left="142"/>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 xml:space="preserve">The Panel again notes that it will not review relevant practices or alleged obstacles to the conduct of effective investigations </w:t>
      </w:r>
      <w:r w:rsidRPr="00436976">
        <w:rPr>
          <w:i/>
          <w:lang w:val="en-GB"/>
        </w:rPr>
        <w:t>in abstracto</w:t>
      </w:r>
      <w:r w:rsidRPr="00436976">
        <w:rPr>
          <w:lang w:val="en-GB"/>
        </w:rPr>
        <w:t>, but only in relation to their specific application to the complaint before it, considering the particular circumstances of the case.</w:t>
      </w:r>
    </w:p>
    <w:p w:rsidR="008D4588" w:rsidRPr="00436976" w:rsidRDefault="008D4588" w:rsidP="005430D1">
      <w:pPr>
        <w:pStyle w:val="Default"/>
        <w:tabs>
          <w:tab w:val="num" w:pos="450"/>
          <w:tab w:val="left" w:pos="709"/>
        </w:tabs>
        <w:ind w:left="142"/>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8D4588" w:rsidRPr="00436976" w:rsidRDefault="008D4588" w:rsidP="005430D1">
      <w:pPr>
        <w:pStyle w:val="Default"/>
        <w:tabs>
          <w:tab w:val="num" w:pos="450"/>
          <w:tab w:val="left" w:pos="540"/>
          <w:tab w:val="left" w:pos="720"/>
        </w:tabs>
        <w:jc w:val="both"/>
        <w:rPr>
          <w:lang w:val="en-GB"/>
        </w:rPr>
      </w:pPr>
    </w:p>
    <w:p w:rsidR="008D4588" w:rsidRPr="00436976" w:rsidRDefault="008D4588" w:rsidP="005430D1">
      <w:pPr>
        <w:pStyle w:val="ListParagraph1"/>
        <w:numPr>
          <w:ilvl w:val="0"/>
          <w:numId w:val="10"/>
        </w:numPr>
        <w:tabs>
          <w:tab w:val="num" w:pos="450"/>
        </w:tabs>
        <w:ind w:left="360"/>
        <w:jc w:val="both"/>
        <w:rPr>
          <w:i/>
          <w:color w:val="000000"/>
          <w:lang w:eastAsia="en-US"/>
        </w:rPr>
      </w:pPr>
      <w:r w:rsidRPr="00436976">
        <w:rPr>
          <w:i/>
          <w:color w:val="000000"/>
          <w:lang w:eastAsia="en-US"/>
        </w:rPr>
        <w:t>Compliance with Article 3 in the present case</w:t>
      </w:r>
    </w:p>
    <w:p w:rsidR="008D4588" w:rsidRPr="00436976" w:rsidRDefault="008D4588" w:rsidP="005430D1">
      <w:pPr>
        <w:pStyle w:val="Default"/>
        <w:tabs>
          <w:tab w:val="num" w:pos="450"/>
          <w:tab w:val="left" w:pos="540"/>
          <w:tab w:val="left" w:pos="720"/>
        </w:tabs>
        <w:ind w:hanging="360"/>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Against this background, the Panel discerns a number of factors in the present case which, taken together, raise the question of violation of Article 3 of the ECHR.</w:t>
      </w:r>
    </w:p>
    <w:p w:rsidR="008D4588" w:rsidRPr="00436976" w:rsidRDefault="008D4588" w:rsidP="005430D1">
      <w:pPr>
        <w:pStyle w:val="Default"/>
        <w:tabs>
          <w:tab w:val="num" w:pos="450"/>
          <w:tab w:val="left" w:pos="709"/>
        </w:tabs>
        <w:ind w:left="142"/>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The Panel notes the proximity of the family ties between the complainant</w:t>
      </w:r>
      <w:r w:rsidR="0033770D" w:rsidRPr="00436976">
        <w:rPr>
          <w:lang w:val="en-GB"/>
        </w:rPr>
        <w:t>s</w:t>
      </w:r>
      <w:r w:rsidRPr="00436976">
        <w:rPr>
          <w:lang w:val="en-GB"/>
        </w:rPr>
        <w:t xml:space="preserve"> and </w:t>
      </w:r>
      <w:r w:rsidR="00D90D26" w:rsidRPr="00436976">
        <w:rPr>
          <w:lang w:val="en-GB"/>
        </w:rPr>
        <w:t>Mr Ivan Majstorović and Mr Dragan Stevanović</w:t>
      </w:r>
      <w:r w:rsidR="00703BFB" w:rsidRPr="00436976">
        <w:rPr>
          <w:lang w:val="en-GB"/>
        </w:rPr>
        <w:t>,</w:t>
      </w:r>
      <w:r w:rsidRPr="00436976">
        <w:rPr>
          <w:lang w:val="en-GB"/>
        </w:rPr>
        <w:t xml:space="preserve"> as the complainant</w:t>
      </w:r>
      <w:r w:rsidR="0033770D" w:rsidRPr="00436976">
        <w:rPr>
          <w:lang w:val="en-GB"/>
        </w:rPr>
        <w:t>s are</w:t>
      </w:r>
      <w:r w:rsidR="00D90D26" w:rsidRPr="00436976">
        <w:rPr>
          <w:lang w:val="en-GB"/>
        </w:rPr>
        <w:t xml:space="preserve"> the</w:t>
      </w:r>
      <w:r w:rsidRPr="00436976">
        <w:rPr>
          <w:lang w:val="en-GB"/>
        </w:rPr>
        <w:t xml:space="preserve"> </w:t>
      </w:r>
      <w:r w:rsidR="00D90D26" w:rsidRPr="00436976">
        <w:rPr>
          <w:lang w:val="en-GB"/>
        </w:rPr>
        <w:t>mother and wife of the victims</w:t>
      </w:r>
      <w:r w:rsidRPr="00436976">
        <w:rPr>
          <w:lang w:val="en-GB"/>
        </w:rPr>
        <w:t>. Accordingly,</w:t>
      </w:r>
      <w:r w:rsidR="0033770D" w:rsidRPr="00436976">
        <w:rPr>
          <w:lang w:val="en-GB"/>
        </w:rPr>
        <w:t xml:space="preserve"> the Panel has no doubt that they</w:t>
      </w:r>
      <w:r w:rsidRPr="00436976">
        <w:rPr>
          <w:lang w:val="en-GB"/>
        </w:rPr>
        <w:t xml:space="preserve"> indeed suffered serious emotional distress </w:t>
      </w:r>
      <w:r w:rsidR="00D90D26" w:rsidRPr="00436976">
        <w:rPr>
          <w:lang w:val="en-GB"/>
        </w:rPr>
        <w:t>since their</w:t>
      </w:r>
      <w:r w:rsidRPr="00436976">
        <w:rPr>
          <w:lang w:val="en-GB"/>
        </w:rPr>
        <w:t xml:space="preserve"> disappearance</w:t>
      </w:r>
      <w:r w:rsidR="00D90D26" w:rsidRPr="00436976">
        <w:rPr>
          <w:lang w:val="en-GB"/>
        </w:rPr>
        <w:t>s</w:t>
      </w:r>
      <w:r w:rsidRPr="00436976">
        <w:rPr>
          <w:lang w:val="en-GB"/>
        </w:rPr>
        <w:t>, wh</w:t>
      </w:r>
      <w:r w:rsidR="00D90D26" w:rsidRPr="00436976">
        <w:rPr>
          <w:lang w:val="en-GB"/>
        </w:rPr>
        <w:t>ich took place in August</w:t>
      </w:r>
      <w:r w:rsidR="002D093A" w:rsidRPr="00436976">
        <w:rPr>
          <w:lang w:val="en-GB"/>
        </w:rPr>
        <w:t xml:space="preserve"> 1999. They</w:t>
      </w:r>
      <w:r w:rsidRPr="00436976">
        <w:rPr>
          <w:lang w:val="en-GB"/>
        </w:rPr>
        <w:t xml:space="preserve"> immediately communicated the disappearance</w:t>
      </w:r>
      <w:r w:rsidR="00D90D26" w:rsidRPr="00436976">
        <w:rPr>
          <w:lang w:val="en-GB"/>
        </w:rPr>
        <w:t>s</w:t>
      </w:r>
      <w:r w:rsidRPr="00436976">
        <w:rPr>
          <w:lang w:val="en-GB"/>
        </w:rPr>
        <w:t xml:space="preserve"> to the authorities and gave them all </w:t>
      </w:r>
      <w:r w:rsidR="002D093A" w:rsidRPr="00436976">
        <w:rPr>
          <w:lang w:val="en-GB"/>
        </w:rPr>
        <w:t>the information available to them (see §</w:t>
      </w:r>
      <w:r w:rsidR="00EA7EB9" w:rsidRPr="00436976">
        <w:rPr>
          <w:lang w:val="en-GB"/>
        </w:rPr>
        <w:t xml:space="preserve">§ 25 and 26 </w:t>
      </w:r>
      <w:r w:rsidRPr="00436976">
        <w:rPr>
          <w:lang w:val="en-GB"/>
        </w:rPr>
        <w:t xml:space="preserve">above). </w:t>
      </w:r>
    </w:p>
    <w:p w:rsidR="008D4588" w:rsidRPr="00436976" w:rsidRDefault="008D4588" w:rsidP="005430D1">
      <w:pPr>
        <w:pStyle w:val="Default"/>
        <w:tabs>
          <w:tab w:val="num" w:pos="450"/>
          <w:tab w:val="left" w:pos="709"/>
        </w:tabs>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The Panel also notes that the complainant</w:t>
      </w:r>
      <w:r w:rsidR="002D093A" w:rsidRPr="00436976">
        <w:rPr>
          <w:lang w:val="en-GB"/>
        </w:rPr>
        <w:t>s</w:t>
      </w:r>
      <w:r w:rsidRPr="00436976">
        <w:rPr>
          <w:lang w:val="en-GB"/>
        </w:rPr>
        <w:t xml:space="preserve"> had undertaken their own actions to search for their </w:t>
      </w:r>
      <w:r w:rsidR="00D90D26" w:rsidRPr="00436976">
        <w:rPr>
          <w:lang w:val="en-GB"/>
        </w:rPr>
        <w:t>son and husband</w:t>
      </w:r>
      <w:r w:rsidRPr="00436976">
        <w:rPr>
          <w:lang w:val="en-GB"/>
        </w:rPr>
        <w:t xml:space="preserve">. They applied to various bodies with enquiries but despite their attempts, they have never received any explanation or information as to what became of their </w:t>
      </w:r>
      <w:r w:rsidR="00EA7EB9" w:rsidRPr="00436976">
        <w:rPr>
          <w:lang w:val="en-GB"/>
        </w:rPr>
        <w:t>son and husband following their</w:t>
      </w:r>
      <w:r w:rsidR="002D093A" w:rsidRPr="00436976">
        <w:rPr>
          <w:lang w:val="en-GB"/>
        </w:rPr>
        <w:t xml:space="preserve"> disappearance</w:t>
      </w:r>
      <w:r w:rsidR="00EA7EB9" w:rsidRPr="00436976">
        <w:rPr>
          <w:lang w:val="en-GB"/>
        </w:rPr>
        <w:t>s</w:t>
      </w:r>
      <w:r w:rsidR="002D093A" w:rsidRPr="00436976">
        <w:rPr>
          <w:lang w:val="en-GB"/>
        </w:rPr>
        <w:t>.</w:t>
      </w:r>
    </w:p>
    <w:p w:rsidR="008D4588" w:rsidRPr="00436976" w:rsidRDefault="008D4588" w:rsidP="005430D1">
      <w:pPr>
        <w:pStyle w:val="Default"/>
        <w:tabs>
          <w:tab w:val="num" w:pos="450"/>
          <w:tab w:val="left" w:pos="709"/>
        </w:tabs>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The Panel notes that the complainant</w:t>
      </w:r>
      <w:r w:rsidR="002D093A" w:rsidRPr="00436976">
        <w:rPr>
          <w:lang w:val="en-GB"/>
        </w:rPr>
        <w:t>s</w:t>
      </w:r>
      <w:r w:rsidRPr="00436976">
        <w:rPr>
          <w:lang w:val="en-GB"/>
        </w:rPr>
        <w:t xml:space="preserve"> has never been contacted by either the UNMIK</w:t>
      </w:r>
      <w:r w:rsidR="002D093A" w:rsidRPr="00436976">
        <w:rPr>
          <w:lang w:val="en-GB"/>
        </w:rPr>
        <w:t xml:space="preserve"> Police or prosecutors, that their</w:t>
      </w:r>
      <w:r w:rsidRPr="00436976">
        <w:rPr>
          <w:lang w:val="en-GB"/>
        </w:rPr>
        <w:t xml:space="preserve"> statement</w:t>
      </w:r>
      <w:r w:rsidR="002D093A" w:rsidRPr="00436976">
        <w:rPr>
          <w:lang w:val="en-GB"/>
        </w:rPr>
        <w:t xml:space="preserve">s </w:t>
      </w:r>
      <w:r w:rsidR="00703BFB" w:rsidRPr="00436976">
        <w:rPr>
          <w:lang w:val="en-GB"/>
        </w:rPr>
        <w:t>were</w:t>
      </w:r>
      <w:r w:rsidR="002D093A" w:rsidRPr="00436976">
        <w:rPr>
          <w:lang w:val="en-GB"/>
        </w:rPr>
        <w:t xml:space="preserve"> never recorded and that they</w:t>
      </w:r>
      <w:r w:rsidRPr="00436976">
        <w:rPr>
          <w:lang w:val="en-GB"/>
        </w:rPr>
        <w:t xml:space="preserve"> </w:t>
      </w:r>
      <w:r w:rsidR="00703BFB" w:rsidRPr="00436976">
        <w:rPr>
          <w:lang w:val="en-GB"/>
        </w:rPr>
        <w:t>were</w:t>
      </w:r>
      <w:r w:rsidRPr="00436976">
        <w:rPr>
          <w:lang w:val="en-GB"/>
        </w:rPr>
        <w:t xml:space="preserve"> never informed of the progress of the investigation. The Panel reiterates that from the standpoint of Article 3 it may examine UNMIK’s reactions and attitudes to the complainant in its entirety. As was shown with respect to Article 2, the file as presented provides</w:t>
      </w:r>
      <w:r w:rsidR="002D093A" w:rsidRPr="00436976">
        <w:rPr>
          <w:lang w:val="en-GB"/>
        </w:rPr>
        <w:t xml:space="preserve"> no details of any formal communication</w:t>
      </w:r>
      <w:r w:rsidRPr="00436976">
        <w:rPr>
          <w:lang w:val="en-GB"/>
        </w:rPr>
        <w:t xml:space="preserve"> between UNMIK investigative authorities and the complainant</w:t>
      </w:r>
      <w:r w:rsidR="002D093A" w:rsidRPr="00436976">
        <w:rPr>
          <w:lang w:val="en-GB"/>
        </w:rPr>
        <w:t>s</w:t>
      </w:r>
      <w:r w:rsidRPr="00436976">
        <w:rPr>
          <w:lang w:val="en-GB"/>
        </w:rPr>
        <w:t xml:space="preserve"> from the time of the filing of the initial report of the disappearance</w:t>
      </w:r>
      <w:r w:rsidR="002D093A" w:rsidRPr="00436976">
        <w:rPr>
          <w:lang w:val="en-GB"/>
        </w:rPr>
        <w:t xml:space="preserve"> (see §</w:t>
      </w:r>
      <w:r w:rsidRPr="00436976">
        <w:rPr>
          <w:lang w:val="en-GB"/>
        </w:rPr>
        <w:t xml:space="preserve"> </w:t>
      </w:r>
      <w:r w:rsidR="007C1B88" w:rsidRPr="00436976">
        <w:rPr>
          <w:lang w:val="en-GB"/>
        </w:rPr>
        <w:fldChar w:fldCharType="begin"/>
      </w:r>
      <w:r w:rsidR="00DE2F99" w:rsidRPr="00436976">
        <w:rPr>
          <w:lang w:val="en-GB"/>
        </w:rPr>
        <w:instrText xml:space="preserve"> REF _Ref361997183 \r \h </w:instrText>
      </w:r>
      <w:r w:rsidR="007C1B88" w:rsidRPr="00436976">
        <w:rPr>
          <w:lang w:val="en-GB"/>
        </w:rPr>
      </w:r>
      <w:r w:rsidR="007C1B88" w:rsidRPr="00436976">
        <w:rPr>
          <w:lang w:val="en-GB"/>
        </w:rPr>
        <w:fldChar w:fldCharType="separate"/>
      </w:r>
      <w:r w:rsidR="000E5CB5" w:rsidRPr="00436976">
        <w:rPr>
          <w:lang w:val="en-GB"/>
        </w:rPr>
        <w:t>90</w:t>
      </w:r>
      <w:r w:rsidR="007C1B88" w:rsidRPr="00436976">
        <w:rPr>
          <w:lang w:val="en-GB"/>
        </w:rPr>
        <w:fldChar w:fldCharType="end"/>
      </w:r>
      <w:r w:rsidR="00DE2F99" w:rsidRPr="00436976">
        <w:rPr>
          <w:lang w:val="en-GB"/>
        </w:rPr>
        <w:t xml:space="preserve"> </w:t>
      </w:r>
      <w:r w:rsidRPr="00436976">
        <w:rPr>
          <w:lang w:val="en-GB"/>
        </w:rPr>
        <w:t>above).</w:t>
      </w:r>
    </w:p>
    <w:p w:rsidR="008D4588" w:rsidRPr="00436976" w:rsidRDefault="008D4588" w:rsidP="005430D1">
      <w:pPr>
        <w:pStyle w:val="Default"/>
        <w:tabs>
          <w:tab w:val="num" w:pos="450"/>
          <w:tab w:val="left" w:pos="709"/>
        </w:tabs>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 xml:space="preserve">Drawing inferences from UNMIK’s failure to submit the investigative documents (§ </w:t>
      </w:r>
      <w:r w:rsidR="007C1B88" w:rsidRPr="00436976">
        <w:rPr>
          <w:lang w:val="en-GB"/>
        </w:rPr>
        <w:fldChar w:fldCharType="begin"/>
      </w:r>
      <w:r w:rsidR="00DE2F99" w:rsidRPr="00436976">
        <w:rPr>
          <w:lang w:val="en-GB"/>
        </w:rPr>
        <w:instrText xml:space="preserve"> REF _Ref361997292 \r \h </w:instrText>
      </w:r>
      <w:r w:rsidR="00703BFB" w:rsidRPr="00436976">
        <w:rPr>
          <w:lang w:val="en-GB"/>
        </w:rPr>
        <w:instrText xml:space="preserve"> \* MERGEFORMAT </w:instrText>
      </w:r>
      <w:r w:rsidR="007C1B88" w:rsidRPr="00436976">
        <w:rPr>
          <w:lang w:val="en-GB"/>
        </w:rPr>
      </w:r>
      <w:r w:rsidR="007C1B88" w:rsidRPr="00436976">
        <w:rPr>
          <w:lang w:val="en-GB"/>
        </w:rPr>
        <w:fldChar w:fldCharType="separate"/>
      </w:r>
      <w:r w:rsidR="00703BFB" w:rsidRPr="00436976">
        <w:rPr>
          <w:lang w:val="en-GB"/>
        </w:rPr>
        <w:t>52</w:t>
      </w:r>
      <w:r w:rsidR="007C1B88" w:rsidRPr="00436976">
        <w:rPr>
          <w:lang w:val="en-GB"/>
        </w:rPr>
        <w:fldChar w:fldCharType="end"/>
      </w:r>
      <w:r w:rsidRPr="00436976">
        <w:rPr>
          <w:lang w:val="en-GB"/>
        </w:rPr>
        <w:t xml:space="preserve"> above) or to provide another plausible explanation for the complete absence of</w:t>
      </w:r>
      <w:r w:rsidR="00D90D26" w:rsidRPr="00436976">
        <w:rPr>
          <w:lang w:val="en-GB"/>
        </w:rPr>
        <w:t xml:space="preserve"> evidence of</w:t>
      </w:r>
      <w:r w:rsidRPr="00436976">
        <w:rPr>
          <w:lang w:val="en-GB"/>
        </w:rPr>
        <w:t xml:space="preserve"> contact with the complainant</w:t>
      </w:r>
      <w:r w:rsidR="002D093A" w:rsidRPr="00436976">
        <w:rPr>
          <w:lang w:val="en-GB"/>
        </w:rPr>
        <w:t>s</w:t>
      </w:r>
      <w:r w:rsidRPr="00436976">
        <w:rPr>
          <w:lang w:val="en-GB"/>
        </w:rPr>
        <w:t xml:space="preserve">, or  information about the criminal investigation into the </w:t>
      </w:r>
      <w:r w:rsidR="00D90D26" w:rsidRPr="00436976">
        <w:rPr>
          <w:lang w:val="en-GB"/>
        </w:rPr>
        <w:t>abductions</w:t>
      </w:r>
      <w:r w:rsidRPr="00436976">
        <w:rPr>
          <w:lang w:val="en-GB"/>
        </w:rPr>
        <w:t xml:space="preserve"> </w:t>
      </w:r>
      <w:r w:rsidR="002D093A" w:rsidRPr="00436976">
        <w:rPr>
          <w:lang w:val="en-GB"/>
        </w:rPr>
        <w:t xml:space="preserve">of </w:t>
      </w:r>
      <w:r w:rsidR="00D90D26" w:rsidRPr="00436976">
        <w:rPr>
          <w:lang w:val="en-GB"/>
        </w:rPr>
        <w:t>Mr Ivan Majstorović and Mr Dragan Stevanović</w:t>
      </w:r>
      <w:r w:rsidRPr="00436976">
        <w:rPr>
          <w:lang w:val="en-GB"/>
        </w:rPr>
        <w:t>, the Panel considers that this situation, which continued into the period of the Panel’s temporal jurisdiction, caused grave uncertainty ab</w:t>
      </w:r>
      <w:r w:rsidR="00B665F9" w:rsidRPr="00436976">
        <w:rPr>
          <w:lang w:val="en-GB"/>
        </w:rPr>
        <w:t>out the fate of the complainant</w:t>
      </w:r>
      <w:r w:rsidRPr="00436976">
        <w:rPr>
          <w:lang w:val="en-GB"/>
        </w:rPr>
        <w:t>s</w:t>
      </w:r>
      <w:r w:rsidR="00B665F9" w:rsidRPr="00436976">
        <w:rPr>
          <w:lang w:val="en-GB"/>
        </w:rPr>
        <w:t>’</w:t>
      </w:r>
      <w:r w:rsidRPr="00436976">
        <w:rPr>
          <w:lang w:val="en-GB"/>
        </w:rPr>
        <w:t xml:space="preserve"> </w:t>
      </w:r>
      <w:r w:rsidR="00D90D26" w:rsidRPr="00436976">
        <w:rPr>
          <w:lang w:val="en-GB"/>
        </w:rPr>
        <w:t>son and husband</w:t>
      </w:r>
      <w:r w:rsidR="00B665F9" w:rsidRPr="00436976">
        <w:rPr>
          <w:lang w:val="en-GB"/>
        </w:rPr>
        <w:t xml:space="preserve"> </w:t>
      </w:r>
      <w:r w:rsidRPr="00436976">
        <w:rPr>
          <w:lang w:val="en-GB"/>
        </w:rPr>
        <w:t xml:space="preserve">and the status of the investigation. </w:t>
      </w:r>
    </w:p>
    <w:p w:rsidR="008D4588" w:rsidRPr="00436976" w:rsidRDefault="008D4588" w:rsidP="005430D1">
      <w:pPr>
        <w:pStyle w:val="Default"/>
        <w:tabs>
          <w:tab w:val="num" w:pos="450"/>
          <w:tab w:val="left" w:pos="709"/>
        </w:tabs>
        <w:jc w:val="both"/>
        <w:rPr>
          <w:lang w:val="en-GB"/>
        </w:rPr>
      </w:pPr>
    </w:p>
    <w:p w:rsidR="008D4588" w:rsidRPr="00436976" w:rsidRDefault="008D4588" w:rsidP="005430D1">
      <w:pPr>
        <w:pStyle w:val="Default"/>
        <w:numPr>
          <w:ilvl w:val="0"/>
          <w:numId w:val="2"/>
        </w:numPr>
        <w:tabs>
          <w:tab w:val="clear" w:pos="360"/>
          <w:tab w:val="num" w:pos="450"/>
        </w:tabs>
        <w:jc w:val="both"/>
        <w:rPr>
          <w:color w:val="auto"/>
          <w:lang w:val="en-GB"/>
        </w:rPr>
      </w:pPr>
      <w:r w:rsidRPr="00436976">
        <w:rPr>
          <w:lang w:val="en-GB"/>
        </w:rPr>
        <w:t>In view of the above, the Panel concludes that the complainant</w:t>
      </w:r>
      <w:r w:rsidR="002D093A" w:rsidRPr="00436976">
        <w:rPr>
          <w:lang w:val="en-GB"/>
        </w:rPr>
        <w:t>s</w:t>
      </w:r>
      <w:r w:rsidRPr="00436976">
        <w:rPr>
          <w:lang w:val="en-GB"/>
        </w:rPr>
        <w:t xml:space="preserve"> suffered severe distress for a prolonged and continuing period of time on account of the way the authorit</w:t>
      </w:r>
      <w:r w:rsidR="002D093A" w:rsidRPr="00436976">
        <w:rPr>
          <w:lang w:val="en-GB"/>
        </w:rPr>
        <w:t>ies of UNMIK have dealt with their</w:t>
      </w:r>
      <w:r w:rsidRPr="00436976">
        <w:rPr>
          <w:lang w:val="en-GB"/>
        </w:rPr>
        <w:t xml:space="preserve"> complaint</w:t>
      </w:r>
      <w:r w:rsidR="002D093A" w:rsidRPr="00436976">
        <w:rPr>
          <w:lang w:val="en-GB"/>
        </w:rPr>
        <w:t>s</w:t>
      </w:r>
      <w:r w:rsidRPr="00436976">
        <w:rPr>
          <w:lang w:val="en-GB"/>
        </w:rPr>
        <w:t xml:space="preserve"> and as a result</w:t>
      </w:r>
      <w:r w:rsidR="00B665F9" w:rsidRPr="00436976">
        <w:rPr>
          <w:lang w:val="en-GB"/>
        </w:rPr>
        <w:t xml:space="preserve"> have left them with the</w:t>
      </w:r>
      <w:r w:rsidRPr="00436976">
        <w:rPr>
          <w:lang w:val="en-GB"/>
        </w:rPr>
        <w:t xml:space="preserve"> inability </w:t>
      </w:r>
      <w:r w:rsidR="00B665F9" w:rsidRPr="00436976">
        <w:rPr>
          <w:lang w:val="en-GB"/>
        </w:rPr>
        <w:t xml:space="preserve">to find out what happened to their </w:t>
      </w:r>
      <w:r w:rsidR="00D90D26" w:rsidRPr="00436976">
        <w:rPr>
          <w:lang w:val="en-GB"/>
        </w:rPr>
        <w:t>son and husband</w:t>
      </w:r>
      <w:r w:rsidRPr="00436976">
        <w:rPr>
          <w:color w:val="auto"/>
          <w:lang w:val="en-GB"/>
        </w:rPr>
        <w:t>. In this respect, it is obvious that, in any</w:t>
      </w:r>
      <w:r w:rsidR="00B665F9" w:rsidRPr="00436976">
        <w:rPr>
          <w:color w:val="auto"/>
          <w:lang w:val="en-GB"/>
        </w:rPr>
        <w:t xml:space="preserve"> situation, the pain of a </w:t>
      </w:r>
      <w:r w:rsidR="00D90D26" w:rsidRPr="00436976">
        <w:rPr>
          <w:color w:val="auto"/>
          <w:lang w:val="en-GB"/>
        </w:rPr>
        <w:t>mother or wife</w:t>
      </w:r>
      <w:r w:rsidRPr="00436976">
        <w:rPr>
          <w:color w:val="auto"/>
          <w:lang w:val="en-GB"/>
        </w:rPr>
        <w:t xml:space="preserve"> who has to live in u</w:t>
      </w:r>
      <w:r w:rsidR="00D90D26" w:rsidRPr="00436976">
        <w:rPr>
          <w:color w:val="auto"/>
          <w:lang w:val="en-GB"/>
        </w:rPr>
        <w:t>ncertainty about the fate of their</w:t>
      </w:r>
      <w:r w:rsidRPr="00436976">
        <w:rPr>
          <w:color w:val="auto"/>
          <w:lang w:val="en-GB"/>
        </w:rPr>
        <w:t xml:space="preserve"> disappeared </w:t>
      </w:r>
      <w:r w:rsidR="00D90D26" w:rsidRPr="00436976">
        <w:rPr>
          <w:color w:val="auto"/>
          <w:lang w:val="en-GB"/>
        </w:rPr>
        <w:t xml:space="preserve">son or </w:t>
      </w:r>
      <w:r w:rsidR="00B665F9" w:rsidRPr="00436976">
        <w:rPr>
          <w:color w:val="auto"/>
          <w:lang w:val="en-GB"/>
        </w:rPr>
        <w:t>husband</w:t>
      </w:r>
      <w:r w:rsidRPr="00436976">
        <w:rPr>
          <w:color w:val="auto"/>
          <w:lang w:val="en-GB"/>
        </w:rPr>
        <w:t xml:space="preserve"> must be unbearable.</w:t>
      </w:r>
    </w:p>
    <w:p w:rsidR="008D4588" w:rsidRPr="00436976" w:rsidRDefault="008D4588" w:rsidP="005430D1">
      <w:pPr>
        <w:pStyle w:val="Default"/>
        <w:tabs>
          <w:tab w:val="num" w:pos="450"/>
          <w:tab w:val="left" w:pos="709"/>
        </w:tabs>
        <w:jc w:val="both"/>
        <w:rPr>
          <w:lang w:val="en-GB"/>
        </w:rPr>
      </w:pPr>
    </w:p>
    <w:p w:rsidR="008D4588" w:rsidRPr="00436976" w:rsidRDefault="008D4588" w:rsidP="005430D1">
      <w:pPr>
        <w:pStyle w:val="Default"/>
        <w:numPr>
          <w:ilvl w:val="0"/>
          <w:numId w:val="2"/>
        </w:numPr>
        <w:tabs>
          <w:tab w:val="clear" w:pos="360"/>
          <w:tab w:val="num" w:pos="450"/>
        </w:tabs>
        <w:jc w:val="both"/>
        <w:rPr>
          <w:lang w:val="en-GB"/>
        </w:rPr>
      </w:pPr>
      <w:r w:rsidRPr="00436976">
        <w:rPr>
          <w:lang w:val="en-GB"/>
        </w:rPr>
        <w:t xml:space="preserve">For the aforementioned reasons, the Panel </w:t>
      </w:r>
      <w:r w:rsidRPr="00436976">
        <w:rPr>
          <w:color w:val="000000" w:themeColor="text1"/>
          <w:lang w:val="en-GB"/>
        </w:rPr>
        <w:t>concludes that, by its behaviour, UNMIK contribu</w:t>
      </w:r>
      <w:r w:rsidR="00B665F9" w:rsidRPr="00436976">
        <w:rPr>
          <w:color w:val="000000" w:themeColor="text1"/>
          <w:lang w:val="en-GB"/>
        </w:rPr>
        <w:t>ted to the complainant</w:t>
      </w:r>
      <w:r w:rsidRPr="00436976">
        <w:rPr>
          <w:color w:val="000000" w:themeColor="text1"/>
          <w:lang w:val="en-GB"/>
        </w:rPr>
        <w:t>s</w:t>
      </w:r>
      <w:r w:rsidR="00B665F9" w:rsidRPr="00436976">
        <w:rPr>
          <w:color w:val="000000" w:themeColor="text1"/>
          <w:lang w:val="en-GB"/>
        </w:rPr>
        <w:t>’</w:t>
      </w:r>
      <w:r w:rsidRPr="00436976">
        <w:rPr>
          <w:color w:val="000000" w:themeColor="text1"/>
          <w:lang w:val="en-GB"/>
        </w:rPr>
        <w:t xml:space="preserve"> distress and mental suffering in</w:t>
      </w:r>
      <w:r w:rsidRPr="00436976">
        <w:rPr>
          <w:lang w:val="en-GB"/>
        </w:rPr>
        <w:t xml:space="preserve"> violation of Article 3 of the ECHR.</w:t>
      </w:r>
    </w:p>
    <w:p w:rsidR="008D4588" w:rsidRPr="00436976" w:rsidRDefault="008D4588" w:rsidP="005430D1">
      <w:pPr>
        <w:tabs>
          <w:tab w:val="num" w:pos="450"/>
        </w:tabs>
        <w:suppressAutoHyphens/>
        <w:autoSpaceDE w:val="0"/>
        <w:jc w:val="both"/>
        <w:rPr>
          <w:lang w:val="en-GB"/>
        </w:rPr>
      </w:pPr>
    </w:p>
    <w:p w:rsidR="00FD61AE" w:rsidRPr="00436976" w:rsidRDefault="00FD61AE" w:rsidP="005430D1">
      <w:pPr>
        <w:tabs>
          <w:tab w:val="num" w:pos="450"/>
        </w:tabs>
        <w:rPr>
          <w:b/>
          <w:lang w:val="en-GB"/>
        </w:rPr>
      </w:pPr>
    </w:p>
    <w:p w:rsidR="00FD61AE" w:rsidRPr="00436976" w:rsidRDefault="00FD61AE" w:rsidP="005430D1">
      <w:pPr>
        <w:tabs>
          <w:tab w:val="num" w:pos="450"/>
        </w:tabs>
        <w:jc w:val="both"/>
        <w:rPr>
          <w:b/>
          <w:lang w:val="en-GB"/>
        </w:rPr>
      </w:pPr>
      <w:r w:rsidRPr="00436976">
        <w:rPr>
          <w:b/>
          <w:lang w:val="en-GB"/>
        </w:rPr>
        <w:t>V. CONCLUDING COMMENTS AND RECOMMENDATIONS</w:t>
      </w:r>
    </w:p>
    <w:p w:rsidR="00FD61AE" w:rsidRPr="00436976" w:rsidRDefault="00FD61AE" w:rsidP="005430D1">
      <w:pPr>
        <w:pStyle w:val="ListParagraph"/>
        <w:tabs>
          <w:tab w:val="num" w:pos="450"/>
        </w:tabs>
        <w:rPr>
          <w:lang w:val="en-GB" w:eastAsia="en-US"/>
        </w:rPr>
      </w:pPr>
    </w:p>
    <w:p w:rsidR="00703BFB" w:rsidRPr="00436976" w:rsidRDefault="00FD61AE" w:rsidP="00703BFB">
      <w:pPr>
        <w:numPr>
          <w:ilvl w:val="0"/>
          <w:numId w:val="2"/>
        </w:numPr>
        <w:tabs>
          <w:tab w:val="clear" w:pos="360"/>
          <w:tab w:val="num" w:pos="450"/>
          <w:tab w:val="left" w:pos="567"/>
        </w:tabs>
        <w:suppressAutoHyphens/>
        <w:autoSpaceDE w:val="0"/>
        <w:jc w:val="both"/>
        <w:rPr>
          <w:lang w:val="en-GB" w:eastAsia="en-GB"/>
        </w:rPr>
      </w:pPr>
      <w:r w:rsidRPr="00436976">
        <w:rPr>
          <w:color w:val="000000"/>
          <w:lang w:val="en-GB"/>
        </w:rPr>
        <w:t>In</w:t>
      </w:r>
      <w:r w:rsidRPr="00436976">
        <w:rPr>
          <w:lang w:val="en-GB"/>
        </w:rPr>
        <w:t xml:space="preserve"> light of the Panel’s findings in this case, the Panel is of the opinion that some form of reparation is necessary.</w:t>
      </w:r>
    </w:p>
    <w:p w:rsidR="00703BFB" w:rsidRPr="00436976" w:rsidRDefault="00703BFB" w:rsidP="00703BFB">
      <w:pPr>
        <w:tabs>
          <w:tab w:val="left" w:pos="567"/>
        </w:tabs>
        <w:suppressAutoHyphens/>
        <w:autoSpaceDE w:val="0"/>
        <w:ind w:left="360"/>
        <w:jc w:val="both"/>
        <w:rPr>
          <w:lang w:val="en-GB" w:eastAsia="en-GB"/>
        </w:rPr>
      </w:pPr>
    </w:p>
    <w:p w:rsidR="00703BFB" w:rsidRPr="00436976" w:rsidRDefault="00703BFB" w:rsidP="00703BFB">
      <w:pPr>
        <w:numPr>
          <w:ilvl w:val="0"/>
          <w:numId w:val="2"/>
        </w:numPr>
        <w:tabs>
          <w:tab w:val="clear" w:pos="360"/>
          <w:tab w:val="num" w:pos="450"/>
          <w:tab w:val="left" w:pos="567"/>
        </w:tabs>
        <w:suppressAutoHyphens/>
        <w:autoSpaceDE w:val="0"/>
        <w:jc w:val="both"/>
        <w:rPr>
          <w:lang w:val="en-GB" w:eastAsia="en-GB"/>
        </w:rPr>
      </w:pPr>
      <w:r w:rsidRPr="00436976">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life-threatening circumstances. Its failure to do so constitutes further serious violations of the rights of the victims and their next-of-kin, in particular the right to have the truth of the matter determined.</w:t>
      </w:r>
    </w:p>
    <w:p w:rsidR="00FD61AE" w:rsidRPr="00436976" w:rsidRDefault="00FD61AE" w:rsidP="00703BFB">
      <w:pPr>
        <w:tabs>
          <w:tab w:val="left" w:pos="567"/>
        </w:tabs>
        <w:suppressAutoHyphens/>
        <w:autoSpaceDE w:val="0"/>
        <w:ind w:left="360"/>
        <w:jc w:val="both"/>
        <w:rPr>
          <w:lang w:val="en-GB"/>
        </w:rPr>
      </w:pPr>
    </w:p>
    <w:p w:rsidR="00FD61AE" w:rsidRPr="00436976" w:rsidRDefault="00FD61AE" w:rsidP="005430D1">
      <w:pPr>
        <w:pStyle w:val="ListParagraph"/>
        <w:tabs>
          <w:tab w:val="num" w:pos="450"/>
        </w:tabs>
        <w:rPr>
          <w:lang w:val="en-GB" w:eastAsia="en-US"/>
        </w:rPr>
      </w:pPr>
    </w:p>
    <w:p w:rsidR="00FD61AE" w:rsidRPr="00436976" w:rsidRDefault="00FD61AE" w:rsidP="005430D1">
      <w:pPr>
        <w:numPr>
          <w:ilvl w:val="0"/>
          <w:numId w:val="2"/>
        </w:numPr>
        <w:tabs>
          <w:tab w:val="clear" w:pos="360"/>
          <w:tab w:val="num" w:pos="450"/>
          <w:tab w:val="left" w:pos="567"/>
        </w:tabs>
        <w:suppressAutoHyphens/>
        <w:autoSpaceDE w:val="0"/>
        <w:jc w:val="both"/>
        <w:rPr>
          <w:lang w:val="en-GB" w:eastAsia="en-GB"/>
        </w:rPr>
      </w:pPr>
      <w:r w:rsidRPr="00436976">
        <w:rPr>
          <w:lang w:val="en-GB"/>
        </w:rPr>
        <w:t>The Panel notes the SRSG’s own concerns that the inadequate resources, especially at the outset of UNMIK’s mission, made compliance with UNMIK’s human rights obligations difficult to achieve.</w:t>
      </w:r>
    </w:p>
    <w:p w:rsidR="00FD61AE" w:rsidRPr="00436976" w:rsidRDefault="00FD61AE" w:rsidP="005430D1">
      <w:pPr>
        <w:pStyle w:val="ListParagraph"/>
        <w:tabs>
          <w:tab w:val="num" w:pos="450"/>
        </w:tabs>
        <w:rPr>
          <w:lang w:val="en-GB"/>
        </w:rPr>
      </w:pPr>
    </w:p>
    <w:p w:rsidR="00FD61AE" w:rsidRPr="00436976" w:rsidRDefault="00FD61AE" w:rsidP="005430D1">
      <w:pPr>
        <w:numPr>
          <w:ilvl w:val="0"/>
          <w:numId w:val="2"/>
        </w:numPr>
        <w:tabs>
          <w:tab w:val="clear" w:pos="360"/>
          <w:tab w:val="num" w:pos="450"/>
          <w:tab w:val="left" w:pos="567"/>
        </w:tabs>
        <w:suppressAutoHyphens/>
        <w:autoSpaceDE w:val="0"/>
        <w:jc w:val="both"/>
        <w:rPr>
          <w:lang w:val="en-GB"/>
        </w:rPr>
      </w:pPr>
      <w:r w:rsidRPr="00436976">
        <w:rPr>
          <w:lang w:val="en-GB"/>
        </w:rPr>
        <w:t xml:space="preserve">It would normally be for UNMIK to take the appropriate measures in order to put an end to the violation noted and to redress as far as possible the effects thereof. However, as the Panel noted above (see § </w:t>
      </w:r>
      <w:r w:rsidR="007C1B88" w:rsidRPr="00436976">
        <w:rPr>
          <w:lang w:val="en-GB"/>
        </w:rPr>
        <w:fldChar w:fldCharType="begin"/>
      </w:r>
      <w:r w:rsidR="00DE2F99" w:rsidRPr="00436976">
        <w:rPr>
          <w:lang w:val="en-GB"/>
        </w:rPr>
        <w:instrText xml:space="preserve"> REF _Ref346123927 \r \h </w:instrText>
      </w:r>
      <w:r w:rsidR="007C1B88" w:rsidRPr="00436976">
        <w:rPr>
          <w:lang w:val="en-GB"/>
        </w:rPr>
      </w:r>
      <w:r w:rsidR="007C1B88" w:rsidRPr="00436976">
        <w:rPr>
          <w:lang w:val="en-GB"/>
        </w:rPr>
        <w:fldChar w:fldCharType="separate"/>
      </w:r>
      <w:r w:rsidR="000E5CB5" w:rsidRPr="00436976">
        <w:rPr>
          <w:lang w:val="en-GB"/>
        </w:rPr>
        <w:t>21</w:t>
      </w:r>
      <w:r w:rsidR="007C1B88" w:rsidRPr="00436976">
        <w:rPr>
          <w:lang w:val="en-GB"/>
        </w:rPr>
        <w:fldChar w:fldCharType="end"/>
      </w:r>
      <w:r w:rsidR="00DE2F99" w:rsidRPr="00436976">
        <w:rPr>
          <w:lang w:val="en-GB"/>
        </w:rPr>
        <w:t>)</w:t>
      </w:r>
      <w:r w:rsidRPr="00436976">
        <w:rPr>
          <w:lang w:val="en-GB"/>
        </w:rPr>
        <w:t>,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w:t>
      </w:r>
    </w:p>
    <w:p w:rsidR="00FD61AE" w:rsidRPr="00436976" w:rsidRDefault="00FD61AE" w:rsidP="005430D1">
      <w:pPr>
        <w:pStyle w:val="ListParagraph"/>
        <w:tabs>
          <w:tab w:val="num" w:pos="450"/>
        </w:tabs>
        <w:rPr>
          <w:lang w:val="en-GB" w:eastAsia="en-US"/>
        </w:rPr>
      </w:pPr>
    </w:p>
    <w:p w:rsidR="00FD61AE" w:rsidRPr="00436976" w:rsidRDefault="00FD61AE" w:rsidP="005430D1">
      <w:pPr>
        <w:numPr>
          <w:ilvl w:val="0"/>
          <w:numId w:val="2"/>
        </w:numPr>
        <w:tabs>
          <w:tab w:val="clear" w:pos="360"/>
          <w:tab w:val="num" w:pos="450"/>
          <w:tab w:val="left" w:pos="567"/>
        </w:tabs>
        <w:suppressAutoHyphens/>
        <w:autoSpaceDE w:val="0"/>
        <w:jc w:val="both"/>
        <w:rPr>
          <w:lang w:val="en-GB" w:eastAsia="en-GB"/>
        </w:rPr>
      </w:pPr>
      <w:r w:rsidRPr="00436976">
        <w:rPr>
          <w:lang w:val="en-GB"/>
        </w:rPr>
        <w:t>The Panel considers that this factual situation does not relieve UNMIK from its obligation to redress as far as possible the effects of the violations for which it is responsible.</w:t>
      </w:r>
    </w:p>
    <w:p w:rsidR="00FD61AE" w:rsidRPr="00436976" w:rsidRDefault="00FD61AE" w:rsidP="005430D1">
      <w:pPr>
        <w:tabs>
          <w:tab w:val="num" w:pos="450"/>
        </w:tabs>
        <w:suppressAutoHyphens/>
        <w:autoSpaceDE w:val="0"/>
        <w:jc w:val="both"/>
        <w:rPr>
          <w:lang w:val="en-GB"/>
        </w:rPr>
      </w:pPr>
    </w:p>
    <w:p w:rsidR="00FD61AE" w:rsidRPr="00436976" w:rsidRDefault="00FD61AE" w:rsidP="00FD61AE">
      <w:pPr>
        <w:suppressAutoHyphens/>
        <w:autoSpaceDE w:val="0"/>
        <w:ind w:left="142"/>
        <w:jc w:val="both"/>
        <w:rPr>
          <w:b/>
          <w:lang w:val="en-GB"/>
        </w:rPr>
      </w:pPr>
      <w:r w:rsidRPr="00436976">
        <w:rPr>
          <w:b/>
          <w:lang w:val="en-GB"/>
        </w:rPr>
        <w:t>With respect to the complainant and the case the Panel considers it appropriate that UNMIK:</w:t>
      </w:r>
    </w:p>
    <w:p w:rsidR="00FD61AE" w:rsidRPr="00436976" w:rsidRDefault="00FD61AE" w:rsidP="00FD61AE">
      <w:pPr>
        <w:suppressAutoHyphens/>
        <w:autoSpaceDE w:val="0"/>
        <w:ind w:left="426"/>
        <w:jc w:val="both"/>
        <w:rPr>
          <w:lang w:val="en-GB"/>
        </w:rPr>
      </w:pPr>
    </w:p>
    <w:p w:rsidR="00FD61AE" w:rsidRPr="00802594" w:rsidRDefault="00FD61AE" w:rsidP="00802594">
      <w:pPr>
        <w:pStyle w:val="ListParagraph"/>
        <w:numPr>
          <w:ilvl w:val="0"/>
          <w:numId w:val="13"/>
        </w:numPr>
        <w:autoSpaceDE w:val="0"/>
        <w:ind w:left="426" w:firstLine="0"/>
        <w:jc w:val="both"/>
        <w:rPr>
          <w:lang w:val="en-GB"/>
        </w:rPr>
      </w:pPr>
      <w:r w:rsidRPr="00802594">
        <w:rPr>
          <w:lang w:val="en-GB"/>
        </w:rPr>
        <w:t xml:space="preserve">In line with the case law of the European Court of Human Rights on situations of limited State jurisdiction (see ECtHR [GC], </w:t>
      </w:r>
      <w:r w:rsidRPr="00802594">
        <w:rPr>
          <w:i/>
          <w:lang w:val="en-GB"/>
        </w:rPr>
        <w:t>Ilaşcu and Others v.</w:t>
      </w:r>
      <w:r w:rsidRPr="00802594">
        <w:rPr>
          <w:lang w:val="en-GB"/>
        </w:rPr>
        <w:t xml:space="preserve"> </w:t>
      </w:r>
      <w:r w:rsidRPr="00802594">
        <w:rPr>
          <w:i/>
          <w:lang w:val="en-GB"/>
        </w:rPr>
        <w:t>Moldova and Russia</w:t>
      </w:r>
      <w:r w:rsidRPr="00802594">
        <w:rPr>
          <w:lang w:val="en-GB"/>
        </w:rPr>
        <w:t xml:space="preserve">, cited in § </w:t>
      </w:r>
      <w:r w:rsidR="007C1B88" w:rsidRPr="00802594">
        <w:rPr>
          <w:lang w:val="en-GB"/>
        </w:rPr>
        <w:fldChar w:fldCharType="begin"/>
      </w:r>
      <w:r w:rsidR="00DE2F99" w:rsidRPr="00802594">
        <w:rPr>
          <w:lang w:val="en-GB"/>
        </w:rPr>
        <w:instrText xml:space="preserve"> REF _Ref361997422 \r \h </w:instrText>
      </w:r>
      <w:r w:rsidR="007C1B88" w:rsidRPr="00802594">
        <w:rPr>
          <w:lang w:val="en-GB"/>
        </w:rPr>
      </w:r>
      <w:r w:rsidR="007C1B88" w:rsidRPr="00802594">
        <w:rPr>
          <w:lang w:val="en-GB"/>
        </w:rPr>
        <w:fldChar w:fldCharType="separate"/>
      </w:r>
      <w:r w:rsidR="00703BFB" w:rsidRPr="00802594">
        <w:rPr>
          <w:lang w:val="en-GB"/>
        </w:rPr>
        <w:t>99</w:t>
      </w:r>
      <w:r w:rsidR="007C1B88" w:rsidRPr="00802594">
        <w:rPr>
          <w:lang w:val="en-GB"/>
        </w:rPr>
        <w:fldChar w:fldCharType="end"/>
      </w:r>
      <w:r w:rsidRPr="00802594">
        <w:rPr>
          <w:lang w:val="en-GB"/>
        </w:rPr>
        <w:t xml:space="preserve"> above, at § 333; </w:t>
      </w:r>
      <w:r w:rsidRPr="00802594">
        <w:rPr>
          <w:i/>
          <w:lang w:val="en-GB"/>
        </w:rPr>
        <w:t>ECtHR, Al-Saadoon and Mufdhi v. United Kingdom</w:t>
      </w:r>
      <w:r w:rsidRPr="00802594">
        <w:rPr>
          <w:lang w:val="en-GB"/>
        </w:rPr>
        <w:t xml:space="preserve">, no. 61498/08, judgment of 2 March 2010, § 171; ECtHR [GC], </w:t>
      </w:r>
      <w:r w:rsidRPr="00802594">
        <w:rPr>
          <w:i/>
          <w:lang w:val="en-GB"/>
        </w:rPr>
        <w:t>Catan and Others v. Moldova and Russia</w:t>
      </w:r>
      <w:r w:rsidRPr="00802594">
        <w:rPr>
          <w:lang w:val="en-GB"/>
        </w:rPr>
        <w:t xml:space="preserve">, nos. 43370/04, 8252/05 and 18454/06, judgment of 19 October 2012, § 109), must endeavour, with all the diplomatic means available to it </w:t>
      </w:r>
      <w:r w:rsidRPr="00802594">
        <w:rPr>
          <w:i/>
          <w:lang w:val="en-GB"/>
        </w:rPr>
        <w:t xml:space="preserve">vis-à-vis </w:t>
      </w:r>
      <w:r w:rsidRPr="00802594">
        <w:rPr>
          <w:lang w:val="en-GB"/>
        </w:rPr>
        <w:t>EULEX and the Kosovo authorities, to obtain assurances that the investigations concerning the case at issue will be continued in compliance with the requirements of an effective investigation as envisaged by Article 2, that the circumstances surrounding the abduction</w:t>
      </w:r>
      <w:r w:rsidR="00DE2F99" w:rsidRPr="00802594">
        <w:rPr>
          <w:lang w:val="en-GB"/>
        </w:rPr>
        <w:t>s</w:t>
      </w:r>
      <w:r w:rsidRPr="00802594">
        <w:rPr>
          <w:lang w:val="en-GB"/>
        </w:rPr>
        <w:t xml:space="preserve"> of </w:t>
      </w:r>
      <w:r w:rsidR="00DE2F99" w:rsidRPr="00802594">
        <w:rPr>
          <w:lang w:val="en-GB"/>
        </w:rPr>
        <w:t xml:space="preserve">Mr Ivan Majstorović and Mr Dragan Stevanović </w:t>
      </w:r>
      <w:r w:rsidRPr="00802594">
        <w:rPr>
          <w:lang w:val="en-GB"/>
        </w:rPr>
        <w:t>will be established and that perpetrators will be brought to justice. The complainan</w:t>
      </w:r>
      <w:r w:rsidR="00B665F9" w:rsidRPr="00802594">
        <w:rPr>
          <w:lang w:val="en-GB"/>
        </w:rPr>
        <w:t>ts</w:t>
      </w:r>
      <w:r w:rsidRPr="00802594">
        <w:rPr>
          <w:lang w:val="en-GB"/>
        </w:rPr>
        <w:t xml:space="preserve"> and/or other next-of-kin shall be informed of such proceedings and relevant documents shall be disclosed to them, as necessary;</w:t>
      </w:r>
    </w:p>
    <w:p w:rsidR="00FD61AE" w:rsidRPr="00436976" w:rsidRDefault="00FD61AE" w:rsidP="00FD61AE">
      <w:pPr>
        <w:suppressAutoHyphens/>
        <w:autoSpaceDE w:val="0"/>
        <w:ind w:left="426"/>
        <w:jc w:val="both"/>
        <w:rPr>
          <w:lang w:val="en-GB"/>
        </w:rPr>
      </w:pPr>
    </w:p>
    <w:p w:rsidR="00FD61AE" w:rsidRPr="00436976" w:rsidRDefault="00FD61AE" w:rsidP="00802594">
      <w:pPr>
        <w:pStyle w:val="ListParagraph"/>
        <w:numPr>
          <w:ilvl w:val="0"/>
          <w:numId w:val="13"/>
        </w:numPr>
        <w:autoSpaceDE w:val="0"/>
        <w:ind w:left="426" w:firstLine="0"/>
        <w:jc w:val="both"/>
        <w:rPr>
          <w:lang w:val="en-GB"/>
        </w:rPr>
      </w:pPr>
      <w:r w:rsidRPr="00436976">
        <w:rPr>
          <w:lang w:val="en-GB"/>
        </w:rPr>
        <w:t>Publicly acknowledges, within a reasonable time, responsibility with respect to UNMIK’s failure to adequately investigate the abduction</w:t>
      </w:r>
      <w:r w:rsidR="00D90D26" w:rsidRPr="00436976">
        <w:rPr>
          <w:lang w:val="en-GB"/>
        </w:rPr>
        <w:t>s</w:t>
      </w:r>
      <w:r w:rsidRPr="00436976">
        <w:rPr>
          <w:lang w:val="en-GB"/>
        </w:rPr>
        <w:t xml:space="preserve"> of </w:t>
      </w:r>
      <w:r w:rsidR="00D90D26" w:rsidRPr="00436976">
        <w:rPr>
          <w:lang w:val="en-GB"/>
        </w:rPr>
        <w:t>Mr Ivan Majstorović and Mr Dragan Stevanović</w:t>
      </w:r>
      <w:r w:rsidR="00B665F9" w:rsidRPr="00436976">
        <w:rPr>
          <w:lang w:val="en-GB"/>
        </w:rPr>
        <w:t xml:space="preserve">, </w:t>
      </w:r>
      <w:r w:rsidRPr="00436976">
        <w:rPr>
          <w:lang w:val="en-GB"/>
        </w:rPr>
        <w:t>as well as the distress and mental suffering subsequently incurred, and makes a public apology to the complainants and their family in this regard;</w:t>
      </w:r>
    </w:p>
    <w:p w:rsidR="00FD61AE" w:rsidRPr="00436976" w:rsidRDefault="00FD61AE" w:rsidP="00FD61AE">
      <w:pPr>
        <w:suppressAutoHyphens/>
        <w:autoSpaceDE w:val="0"/>
        <w:ind w:left="426"/>
        <w:jc w:val="both"/>
        <w:rPr>
          <w:lang w:val="en-GB"/>
        </w:rPr>
      </w:pPr>
    </w:p>
    <w:p w:rsidR="00FD61AE" w:rsidRPr="00436976" w:rsidRDefault="00FD61AE" w:rsidP="00802594">
      <w:pPr>
        <w:pStyle w:val="ListParagraph"/>
        <w:numPr>
          <w:ilvl w:val="0"/>
          <w:numId w:val="13"/>
        </w:numPr>
        <w:autoSpaceDE w:val="0"/>
        <w:ind w:left="426" w:firstLine="0"/>
        <w:jc w:val="both"/>
        <w:rPr>
          <w:lang w:val="en-GB"/>
        </w:rPr>
      </w:pPr>
      <w:r w:rsidRPr="00436976">
        <w:rPr>
          <w:lang w:val="en-GB"/>
        </w:rPr>
        <w:t>Takes appropriate steps towards payment of adequate compensation to the complainants for the moral damage suffered due to UNMIK’s failure to conduct an effective investigation, as well as for distress and mental suffering incurred by the complainants as a consequence of UNMIK’s behavior.</w:t>
      </w:r>
    </w:p>
    <w:p w:rsidR="00FD61AE" w:rsidRPr="00436976" w:rsidRDefault="00FD61AE" w:rsidP="00FD61AE">
      <w:pPr>
        <w:suppressAutoHyphens/>
        <w:autoSpaceDE w:val="0"/>
        <w:jc w:val="both"/>
        <w:rPr>
          <w:b/>
          <w:lang w:val="en-GB"/>
        </w:rPr>
      </w:pPr>
    </w:p>
    <w:p w:rsidR="00FD61AE" w:rsidRPr="00436976" w:rsidRDefault="00FD61AE" w:rsidP="00FD61AE">
      <w:pPr>
        <w:suppressAutoHyphens/>
        <w:autoSpaceDE w:val="0"/>
        <w:ind w:left="142"/>
        <w:jc w:val="both"/>
        <w:rPr>
          <w:b/>
          <w:lang w:val="en-GB"/>
        </w:rPr>
      </w:pPr>
      <w:r w:rsidRPr="00436976">
        <w:rPr>
          <w:b/>
          <w:lang w:val="en-GB"/>
        </w:rPr>
        <w:t>The Panel also considers it appropriate that UNMIK:</w:t>
      </w:r>
    </w:p>
    <w:p w:rsidR="00FD61AE" w:rsidRPr="00436976" w:rsidRDefault="00FD61AE" w:rsidP="00FD61AE">
      <w:pPr>
        <w:suppressAutoHyphens/>
        <w:autoSpaceDE w:val="0"/>
        <w:ind w:left="426"/>
        <w:jc w:val="both"/>
        <w:rPr>
          <w:b/>
          <w:lang w:val="en-GB"/>
        </w:rPr>
      </w:pPr>
    </w:p>
    <w:p w:rsidR="00FD61AE" w:rsidRPr="00436976" w:rsidRDefault="00FD61AE" w:rsidP="00802594">
      <w:pPr>
        <w:pStyle w:val="ListParagraph"/>
        <w:numPr>
          <w:ilvl w:val="0"/>
          <w:numId w:val="13"/>
        </w:numPr>
        <w:autoSpaceDE w:val="0"/>
        <w:ind w:left="426" w:firstLine="0"/>
        <w:jc w:val="both"/>
        <w:rPr>
          <w:lang w:val="en-GB"/>
        </w:rPr>
      </w:pPr>
      <w:r w:rsidRPr="00436976">
        <w:rPr>
          <w:lang w:val="en-GB"/>
        </w:rPr>
        <w:t>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FD61AE" w:rsidRPr="00436976" w:rsidRDefault="00FD61AE" w:rsidP="00FD61AE">
      <w:pPr>
        <w:suppressAutoHyphens/>
        <w:autoSpaceDE w:val="0"/>
        <w:ind w:left="426"/>
        <w:jc w:val="both"/>
        <w:rPr>
          <w:lang w:val="en-GB"/>
        </w:rPr>
      </w:pPr>
    </w:p>
    <w:p w:rsidR="00FD61AE" w:rsidRPr="00436976" w:rsidRDefault="00FD61AE" w:rsidP="00802594">
      <w:pPr>
        <w:pStyle w:val="ListParagraph"/>
        <w:numPr>
          <w:ilvl w:val="0"/>
          <w:numId w:val="13"/>
        </w:numPr>
        <w:autoSpaceDE w:val="0"/>
        <w:ind w:left="426" w:firstLine="0"/>
        <w:jc w:val="both"/>
        <w:rPr>
          <w:lang w:val="en-GB"/>
        </w:rPr>
      </w:pPr>
      <w:r w:rsidRPr="00436976">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FD61AE" w:rsidRPr="00436976" w:rsidRDefault="00FD61AE" w:rsidP="00FD61AE">
      <w:pPr>
        <w:suppressAutoHyphens/>
        <w:autoSpaceDE w:val="0"/>
        <w:jc w:val="both"/>
        <w:rPr>
          <w:lang w:val="en-GB"/>
        </w:rPr>
      </w:pPr>
    </w:p>
    <w:p w:rsidR="00FD61AE" w:rsidRPr="00436976" w:rsidRDefault="00FD61AE" w:rsidP="00FD61AE">
      <w:pPr>
        <w:suppressAutoHyphens/>
        <w:autoSpaceDE w:val="0"/>
        <w:jc w:val="both"/>
        <w:rPr>
          <w:b/>
          <w:lang w:val="en-GB"/>
        </w:rPr>
      </w:pPr>
    </w:p>
    <w:p w:rsidR="00FD61AE" w:rsidRPr="00436976" w:rsidRDefault="00FD61AE" w:rsidP="00FD61AE">
      <w:pPr>
        <w:suppressAutoHyphens/>
        <w:autoSpaceDE w:val="0"/>
        <w:jc w:val="both"/>
        <w:rPr>
          <w:b/>
          <w:lang w:val="en-GB"/>
        </w:rPr>
      </w:pPr>
    </w:p>
    <w:p w:rsidR="00FD61AE" w:rsidRPr="00436976" w:rsidRDefault="00FD61AE" w:rsidP="00FD61AE">
      <w:pPr>
        <w:suppressAutoHyphens/>
        <w:autoSpaceDE w:val="0"/>
        <w:jc w:val="both"/>
        <w:rPr>
          <w:b/>
          <w:lang w:val="en-GB"/>
        </w:rPr>
      </w:pPr>
      <w:r w:rsidRPr="00436976">
        <w:rPr>
          <w:b/>
          <w:lang w:val="en-GB"/>
        </w:rPr>
        <w:t>FOR THESE REASONS,</w:t>
      </w:r>
    </w:p>
    <w:p w:rsidR="00FD61AE" w:rsidRPr="00436976" w:rsidRDefault="00FD61AE" w:rsidP="00FD61AE">
      <w:pPr>
        <w:suppressAutoHyphens/>
        <w:autoSpaceDE w:val="0"/>
        <w:jc w:val="both"/>
        <w:rPr>
          <w:lang w:val="en-GB"/>
        </w:rPr>
      </w:pPr>
    </w:p>
    <w:p w:rsidR="00FD61AE" w:rsidRPr="00436976" w:rsidRDefault="00FD61AE" w:rsidP="00FD61AE">
      <w:pPr>
        <w:suppressAutoHyphens/>
        <w:autoSpaceDE w:val="0"/>
        <w:jc w:val="both"/>
        <w:rPr>
          <w:lang w:val="en-GB"/>
        </w:rPr>
      </w:pPr>
    </w:p>
    <w:p w:rsidR="00FD61AE" w:rsidRPr="00436976" w:rsidRDefault="00FD61AE" w:rsidP="00FD61AE">
      <w:pPr>
        <w:suppressAutoHyphens/>
        <w:autoSpaceDE w:val="0"/>
        <w:jc w:val="both"/>
        <w:rPr>
          <w:lang w:val="en-GB"/>
        </w:rPr>
      </w:pPr>
      <w:r w:rsidRPr="00436976">
        <w:rPr>
          <w:lang w:val="en-GB"/>
        </w:rPr>
        <w:t>The Panel, unanimously,</w:t>
      </w:r>
    </w:p>
    <w:p w:rsidR="00FD61AE" w:rsidRPr="00436976" w:rsidRDefault="00FD61AE" w:rsidP="00FD61AE">
      <w:pPr>
        <w:suppressAutoHyphens/>
        <w:autoSpaceDE w:val="0"/>
        <w:jc w:val="both"/>
        <w:rPr>
          <w:lang w:val="en-GB"/>
        </w:rPr>
      </w:pPr>
    </w:p>
    <w:p w:rsidR="00FD61AE" w:rsidRPr="00436976" w:rsidRDefault="00FD61AE" w:rsidP="00FD61AE">
      <w:pPr>
        <w:suppressAutoHyphens/>
        <w:autoSpaceDE w:val="0"/>
        <w:jc w:val="both"/>
        <w:rPr>
          <w:lang w:val="en-GB"/>
        </w:rPr>
      </w:pPr>
    </w:p>
    <w:p w:rsidR="00FD61AE" w:rsidRPr="00436976" w:rsidRDefault="00FD61AE" w:rsidP="00FD61AE">
      <w:pPr>
        <w:tabs>
          <w:tab w:val="left" w:pos="426"/>
        </w:tabs>
        <w:suppressAutoHyphens/>
        <w:autoSpaceDE w:val="0"/>
        <w:jc w:val="both"/>
        <w:rPr>
          <w:b/>
          <w:lang w:val="en-GB"/>
        </w:rPr>
      </w:pPr>
      <w:r w:rsidRPr="00436976">
        <w:rPr>
          <w:b/>
          <w:lang w:val="en-GB"/>
        </w:rPr>
        <w:t>1.</w:t>
      </w:r>
      <w:r w:rsidRPr="00436976">
        <w:rPr>
          <w:b/>
          <w:lang w:val="en-GB"/>
        </w:rPr>
        <w:tab/>
        <w:t xml:space="preserve"> FINDS THAT THERE HAS BEEN A VIOLATION OF THE PROCEDURAL OBLIGATION UNDER ARTICLE 2 OF THE EUROPEAN CONVENTION ON HUMAN RIGHTS;</w:t>
      </w:r>
    </w:p>
    <w:p w:rsidR="00FD61AE" w:rsidRPr="00436976" w:rsidRDefault="00FD61AE" w:rsidP="00FD61AE">
      <w:pPr>
        <w:suppressAutoHyphens/>
        <w:autoSpaceDE w:val="0"/>
        <w:jc w:val="both"/>
        <w:rPr>
          <w:b/>
          <w:lang w:val="en-GB"/>
        </w:rPr>
      </w:pPr>
    </w:p>
    <w:p w:rsidR="00FD61AE" w:rsidRPr="00436976" w:rsidRDefault="00FD61AE" w:rsidP="00FD61AE">
      <w:pPr>
        <w:tabs>
          <w:tab w:val="left" w:pos="426"/>
        </w:tabs>
        <w:suppressAutoHyphens/>
        <w:autoSpaceDE w:val="0"/>
        <w:jc w:val="both"/>
        <w:rPr>
          <w:b/>
          <w:lang w:val="en-GB"/>
        </w:rPr>
      </w:pPr>
      <w:r w:rsidRPr="00436976">
        <w:rPr>
          <w:b/>
          <w:lang w:val="en-GB"/>
        </w:rPr>
        <w:t>2.</w:t>
      </w:r>
      <w:r w:rsidRPr="00436976">
        <w:rPr>
          <w:b/>
          <w:lang w:val="en-GB"/>
        </w:rPr>
        <w:tab/>
        <w:t>FINDS THAT THERE HAS BEEN A VIOLATION OF THE SUBSTANTIVE OBLIGATION UNDER ARTICLE 3 OF THE EUROPEAN CONVENTION ON HUMAN RIGHTS;</w:t>
      </w:r>
    </w:p>
    <w:p w:rsidR="00FD61AE" w:rsidRPr="00436976" w:rsidRDefault="00FD61AE" w:rsidP="00FD61AE">
      <w:pPr>
        <w:suppressAutoHyphens/>
        <w:autoSpaceDE w:val="0"/>
        <w:jc w:val="both"/>
        <w:rPr>
          <w:b/>
          <w:lang w:val="en-GB"/>
        </w:rPr>
      </w:pPr>
    </w:p>
    <w:p w:rsidR="00FD61AE" w:rsidRPr="00436976" w:rsidRDefault="00FD61AE" w:rsidP="00FD61AE">
      <w:pPr>
        <w:tabs>
          <w:tab w:val="left" w:pos="426"/>
        </w:tabs>
        <w:suppressAutoHyphens/>
        <w:autoSpaceDE w:val="0"/>
        <w:jc w:val="both"/>
        <w:rPr>
          <w:b/>
          <w:lang w:val="en-GB"/>
        </w:rPr>
      </w:pPr>
      <w:r w:rsidRPr="00436976">
        <w:rPr>
          <w:b/>
          <w:lang w:val="en-GB"/>
        </w:rPr>
        <w:t>3.</w:t>
      </w:r>
      <w:r w:rsidRPr="00436976">
        <w:rPr>
          <w:b/>
          <w:lang w:val="en-GB"/>
        </w:rPr>
        <w:tab/>
        <w:t>RECOMMENDS THAT UNMIK:</w:t>
      </w:r>
    </w:p>
    <w:p w:rsidR="00FD61AE" w:rsidRPr="00436976" w:rsidRDefault="00FD61AE" w:rsidP="00FD61AE">
      <w:pPr>
        <w:suppressAutoHyphens/>
        <w:autoSpaceDE w:val="0"/>
        <w:jc w:val="both"/>
        <w:rPr>
          <w:b/>
          <w:lang w:val="en-GB"/>
        </w:rPr>
      </w:pPr>
    </w:p>
    <w:p w:rsidR="00FD61AE" w:rsidRPr="00436976" w:rsidRDefault="00FD61AE" w:rsidP="00FD61AE">
      <w:pPr>
        <w:tabs>
          <w:tab w:val="left" w:pos="426"/>
        </w:tabs>
        <w:suppressAutoHyphens/>
        <w:autoSpaceDE w:val="0"/>
        <w:jc w:val="both"/>
        <w:rPr>
          <w:b/>
          <w:lang w:val="en-GB"/>
        </w:rPr>
      </w:pPr>
      <w:r w:rsidRPr="00436976">
        <w:rPr>
          <w:b/>
          <w:lang w:val="en-GB"/>
        </w:rPr>
        <w:t>a.</w:t>
      </w:r>
      <w:r w:rsidRPr="00436976">
        <w:rPr>
          <w:b/>
          <w:lang w:val="en-GB"/>
        </w:rPr>
        <w:tab/>
        <w:t xml:space="preserve">URGES EULEX AND OTHER COMPETENT AUTHORITIES IN KOSOVO TO TAKE ALL POSSIBLE STEPS IN ORDER TO ENSURE THAT THE CRIMINAL INVESTIGATION INTO THE ABDUCTION OF THE COMPLAINANTS’ </w:t>
      </w:r>
      <w:r w:rsidR="00D90D26" w:rsidRPr="00436976">
        <w:rPr>
          <w:b/>
          <w:lang w:val="en-GB"/>
        </w:rPr>
        <w:t xml:space="preserve">SON AND </w:t>
      </w:r>
      <w:r w:rsidR="00B665F9" w:rsidRPr="00436976">
        <w:rPr>
          <w:b/>
          <w:lang w:val="en-GB"/>
        </w:rPr>
        <w:t xml:space="preserve">HUSBAND </w:t>
      </w:r>
      <w:r w:rsidRPr="00436976">
        <w:rPr>
          <w:b/>
          <w:lang w:val="en-GB"/>
        </w:rPr>
        <w:t>IS CONTINUED IN COMPLIANCE WITH ARTICLE 2 OF THE ECHR AND THAT THE PERPETRATORS ARE BROUGHT TO JUSTICE;</w:t>
      </w:r>
    </w:p>
    <w:p w:rsidR="00FD61AE" w:rsidRPr="00436976" w:rsidRDefault="00FD61AE" w:rsidP="00FD61AE">
      <w:pPr>
        <w:suppressAutoHyphens/>
        <w:autoSpaceDE w:val="0"/>
        <w:jc w:val="both"/>
        <w:rPr>
          <w:b/>
          <w:lang w:val="en-GB"/>
        </w:rPr>
      </w:pPr>
    </w:p>
    <w:p w:rsidR="00FD61AE" w:rsidRPr="00436976" w:rsidRDefault="00FD61AE" w:rsidP="00FD61AE">
      <w:pPr>
        <w:tabs>
          <w:tab w:val="left" w:pos="426"/>
        </w:tabs>
        <w:suppressAutoHyphens/>
        <w:autoSpaceDE w:val="0"/>
        <w:jc w:val="both"/>
        <w:rPr>
          <w:b/>
          <w:lang w:val="en-GB"/>
        </w:rPr>
      </w:pPr>
      <w:r w:rsidRPr="00436976">
        <w:rPr>
          <w:b/>
          <w:lang w:val="en-GB"/>
        </w:rPr>
        <w:t>b.</w:t>
      </w:r>
      <w:r w:rsidRPr="00436976">
        <w:rPr>
          <w:b/>
          <w:lang w:val="en-GB"/>
        </w:rPr>
        <w:tab/>
        <w:t xml:space="preserve">PUBLICLY ACKNOWLEDGES RESPONSIBILITY FOR ITS FAILURE TO CONDUCT AN EFFECTIVE INVESTIGATION INTO THE ABDUCTION OF THE COMPLAINANTS’ </w:t>
      </w:r>
      <w:r w:rsidR="00D90D26" w:rsidRPr="00436976">
        <w:rPr>
          <w:b/>
          <w:lang w:val="en-GB"/>
        </w:rPr>
        <w:t>SON AND HUSBAND</w:t>
      </w:r>
      <w:r w:rsidRPr="00436976">
        <w:rPr>
          <w:b/>
          <w:lang w:val="en-GB"/>
        </w:rPr>
        <w:t>, AS WELL AS FOR DISTRESS AND MENTAL SUFFERING INCURRED, AND MAKES A PUBLIC APOLOGY TO THE COMPLAINANTS AND THEIR FAMILY;</w:t>
      </w:r>
    </w:p>
    <w:p w:rsidR="00FD61AE" w:rsidRPr="00436976" w:rsidRDefault="00FD61AE" w:rsidP="00FD61AE">
      <w:pPr>
        <w:suppressAutoHyphens/>
        <w:autoSpaceDE w:val="0"/>
        <w:jc w:val="both"/>
        <w:rPr>
          <w:b/>
          <w:lang w:val="en-GB"/>
        </w:rPr>
      </w:pPr>
    </w:p>
    <w:p w:rsidR="00FD61AE" w:rsidRPr="00436976" w:rsidRDefault="00FD61AE" w:rsidP="00FD61AE">
      <w:pPr>
        <w:tabs>
          <w:tab w:val="left" w:pos="426"/>
        </w:tabs>
        <w:suppressAutoHyphens/>
        <w:autoSpaceDE w:val="0"/>
        <w:jc w:val="both"/>
        <w:rPr>
          <w:b/>
          <w:lang w:val="en-GB"/>
        </w:rPr>
      </w:pPr>
      <w:r w:rsidRPr="00436976">
        <w:rPr>
          <w:b/>
          <w:lang w:val="en-GB"/>
        </w:rPr>
        <w:t>c.</w:t>
      </w:r>
      <w:r w:rsidRPr="00436976">
        <w:rPr>
          <w:b/>
          <w:lang w:val="en-GB"/>
        </w:rPr>
        <w:tab/>
        <w:t>TAKES APPROPRIATE STEPS TOWARDS PAYMENT OF ADEQUATE COMPENSATION OF THE COMPLAINANTS FOR MORAL DAMAGE IN RELATION TO THE FINDING OF VIOLATIONS OF ARTICLE 2 AND ARTICLE 3 OF THE ECHR.</w:t>
      </w:r>
    </w:p>
    <w:p w:rsidR="00FD61AE" w:rsidRPr="00436976" w:rsidRDefault="00FD61AE" w:rsidP="00FD61AE">
      <w:pPr>
        <w:suppressAutoHyphens/>
        <w:autoSpaceDE w:val="0"/>
        <w:jc w:val="both"/>
        <w:rPr>
          <w:b/>
          <w:lang w:val="en-GB"/>
        </w:rPr>
      </w:pPr>
    </w:p>
    <w:p w:rsidR="00FD61AE" w:rsidRPr="00436976" w:rsidRDefault="00FD61AE" w:rsidP="00FD61AE">
      <w:pPr>
        <w:tabs>
          <w:tab w:val="left" w:pos="426"/>
        </w:tabs>
        <w:suppressAutoHyphens/>
        <w:autoSpaceDE w:val="0"/>
        <w:jc w:val="both"/>
        <w:rPr>
          <w:b/>
          <w:lang w:val="en-GB"/>
        </w:rPr>
      </w:pPr>
      <w:r w:rsidRPr="00436976">
        <w:rPr>
          <w:b/>
          <w:lang w:val="en-GB"/>
        </w:rPr>
        <w:t>d.</w:t>
      </w:r>
      <w:r w:rsidRPr="00436976">
        <w:rPr>
          <w:b/>
          <w:lang w:val="en-GB"/>
        </w:rPr>
        <w:tab/>
        <w:t>TAKES APPROPRIATE STEPS TOWARDS THE REALISATION OF A FULL AND COMPREHENSIVE REPARATION PROGRAMME;</w:t>
      </w:r>
    </w:p>
    <w:p w:rsidR="00FD61AE" w:rsidRPr="00436976" w:rsidRDefault="00FD61AE" w:rsidP="00FD61AE">
      <w:pPr>
        <w:suppressAutoHyphens/>
        <w:autoSpaceDE w:val="0"/>
        <w:jc w:val="both"/>
        <w:rPr>
          <w:b/>
          <w:lang w:val="en-GB"/>
        </w:rPr>
      </w:pPr>
    </w:p>
    <w:p w:rsidR="00FD61AE" w:rsidRPr="00436976" w:rsidRDefault="00FD61AE" w:rsidP="00FD61AE">
      <w:pPr>
        <w:tabs>
          <w:tab w:val="left" w:pos="426"/>
        </w:tabs>
        <w:suppressAutoHyphens/>
        <w:autoSpaceDE w:val="0"/>
        <w:jc w:val="both"/>
        <w:rPr>
          <w:b/>
          <w:lang w:val="en-GB"/>
        </w:rPr>
      </w:pPr>
      <w:r w:rsidRPr="00436976">
        <w:rPr>
          <w:b/>
          <w:lang w:val="en-GB"/>
        </w:rPr>
        <w:t>e.</w:t>
      </w:r>
      <w:r w:rsidRPr="00436976">
        <w:rPr>
          <w:b/>
          <w:lang w:val="en-GB"/>
        </w:rPr>
        <w:tab/>
        <w:t>TAKES APPROPRIATE STEPS AT THE UNITED NATIONS AS A GUARANTEE OF NON REPETITION;</w:t>
      </w:r>
    </w:p>
    <w:p w:rsidR="00FD61AE" w:rsidRPr="00436976" w:rsidRDefault="00FD61AE" w:rsidP="00FD61AE">
      <w:pPr>
        <w:suppressAutoHyphens/>
        <w:autoSpaceDE w:val="0"/>
        <w:jc w:val="both"/>
        <w:rPr>
          <w:b/>
          <w:lang w:val="en-GB"/>
        </w:rPr>
      </w:pPr>
    </w:p>
    <w:p w:rsidR="00FD61AE" w:rsidRPr="00436976" w:rsidRDefault="00FD61AE" w:rsidP="00FD61AE">
      <w:pPr>
        <w:tabs>
          <w:tab w:val="left" w:pos="426"/>
        </w:tabs>
        <w:suppressAutoHyphens/>
        <w:autoSpaceDE w:val="0"/>
        <w:jc w:val="both"/>
        <w:rPr>
          <w:b/>
          <w:lang w:val="en-GB"/>
        </w:rPr>
      </w:pPr>
      <w:r w:rsidRPr="00436976">
        <w:rPr>
          <w:b/>
          <w:lang w:val="en-GB"/>
        </w:rPr>
        <w:t>f.</w:t>
      </w:r>
      <w:r w:rsidRPr="00436976">
        <w:rPr>
          <w:b/>
          <w:lang w:val="en-GB"/>
        </w:rPr>
        <w:tab/>
        <w:t>TAKES IMMEDIATE AND EFFECTIVE MEASURES TO IMPLEMENT THE RECOMMENDATIONS OF THE PANEL AND TO INFORM THE COMPLAINANTS AND THE PANEL ABOUT FURTHER DEVELOPMENTS IN THIS CASE.</w:t>
      </w:r>
    </w:p>
    <w:p w:rsidR="00FD61AE" w:rsidRPr="00436976" w:rsidRDefault="00FD61AE" w:rsidP="00FD61AE">
      <w:pPr>
        <w:suppressAutoHyphens/>
        <w:autoSpaceDE w:val="0"/>
        <w:jc w:val="both"/>
        <w:rPr>
          <w:lang w:val="en-GB"/>
        </w:rPr>
      </w:pPr>
    </w:p>
    <w:p w:rsidR="00FD61AE" w:rsidRPr="00436976" w:rsidRDefault="00FD61AE" w:rsidP="00FD61AE">
      <w:pPr>
        <w:suppressAutoHyphens/>
        <w:autoSpaceDE w:val="0"/>
        <w:jc w:val="both"/>
        <w:rPr>
          <w:lang w:val="en-GB"/>
        </w:rPr>
      </w:pPr>
    </w:p>
    <w:p w:rsidR="00FD61AE" w:rsidRPr="00436976" w:rsidRDefault="00FD61AE" w:rsidP="00FD61AE">
      <w:pPr>
        <w:rPr>
          <w:lang w:val="en-GB" w:eastAsia="en-GB"/>
        </w:rPr>
      </w:pPr>
    </w:p>
    <w:p w:rsidR="00FD61AE" w:rsidRPr="00436976" w:rsidRDefault="00FD61AE" w:rsidP="00FD61AE">
      <w:pPr>
        <w:tabs>
          <w:tab w:val="left" w:pos="357"/>
        </w:tabs>
        <w:autoSpaceDE w:val="0"/>
        <w:jc w:val="both"/>
        <w:rPr>
          <w:lang w:val="en-GB"/>
        </w:rPr>
      </w:pPr>
    </w:p>
    <w:p w:rsidR="00FD61AE" w:rsidRPr="00436976" w:rsidRDefault="00FD61AE" w:rsidP="00FD61AE">
      <w:pPr>
        <w:tabs>
          <w:tab w:val="left" w:pos="357"/>
        </w:tabs>
        <w:autoSpaceDE w:val="0"/>
        <w:jc w:val="both"/>
        <w:rPr>
          <w:lang w:val="en-GB"/>
        </w:rPr>
      </w:pPr>
    </w:p>
    <w:p w:rsidR="00FD61AE" w:rsidRDefault="00FD61AE" w:rsidP="00FD61AE">
      <w:pPr>
        <w:tabs>
          <w:tab w:val="left" w:pos="357"/>
        </w:tabs>
        <w:autoSpaceDE w:val="0"/>
        <w:jc w:val="both"/>
        <w:rPr>
          <w:lang w:val="en-GB"/>
        </w:rPr>
      </w:pPr>
    </w:p>
    <w:p w:rsidR="006D7AFB" w:rsidRDefault="006D7AFB" w:rsidP="00FD61AE">
      <w:pPr>
        <w:tabs>
          <w:tab w:val="left" w:pos="357"/>
        </w:tabs>
        <w:autoSpaceDE w:val="0"/>
        <w:jc w:val="both"/>
        <w:rPr>
          <w:lang w:val="en-GB"/>
        </w:rPr>
      </w:pPr>
    </w:p>
    <w:p w:rsidR="006D7AFB" w:rsidRPr="00436976" w:rsidRDefault="006D7AFB" w:rsidP="00FD61AE">
      <w:pPr>
        <w:tabs>
          <w:tab w:val="left" w:pos="357"/>
        </w:tabs>
        <w:autoSpaceDE w:val="0"/>
        <w:jc w:val="both"/>
        <w:rPr>
          <w:lang w:val="en-GB"/>
        </w:rPr>
      </w:pPr>
    </w:p>
    <w:p w:rsidR="00FD61AE" w:rsidRPr="00436976" w:rsidRDefault="00FD61AE" w:rsidP="00FD61AE">
      <w:pPr>
        <w:tabs>
          <w:tab w:val="left" w:pos="357"/>
        </w:tabs>
        <w:autoSpaceDE w:val="0"/>
        <w:jc w:val="both"/>
        <w:rPr>
          <w:lang w:val="en-GB"/>
        </w:rPr>
      </w:pPr>
    </w:p>
    <w:p w:rsidR="00B665F9" w:rsidRPr="00436976" w:rsidRDefault="00B665F9" w:rsidP="00B665F9">
      <w:pPr>
        <w:autoSpaceDE w:val="0"/>
        <w:autoSpaceDN w:val="0"/>
        <w:adjustRightInd w:val="0"/>
        <w:jc w:val="both"/>
        <w:rPr>
          <w:lang w:val="en-GB"/>
        </w:rPr>
      </w:pPr>
      <w:r w:rsidRPr="00436976">
        <w:rPr>
          <w:lang w:val="en-GB"/>
        </w:rPr>
        <w:t xml:space="preserve">   Andrey ANTONOV</w:t>
      </w:r>
      <w:r w:rsidRPr="00436976">
        <w:rPr>
          <w:lang w:val="en-GB"/>
        </w:rPr>
        <w:tab/>
      </w:r>
      <w:r w:rsidRPr="00436976">
        <w:rPr>
          <w:lang w:val="en-GB"/>
        </w:rPr>
        <w:tab/>
      </w:r>
      <w:r w:rsidRPr="00436976">
        <w:rPr>
          <w:lang w:val="en-GB"/>
        </w:rPr>
        <w:tab/>
      </w:r>
      <w:r w:rsidRPr="00436976">
        <w:rPr>
          <w:lang w:val="en-GB"/>
        </w:rPr>
        <w:tab/>
      </w:r>
      <w:r w:rsidRPr="00436976">
        <w:rPr>
          <w:lang w:val="en-GB"/>
        </w:rPr>
        <w:tab/>
      </w:r>
      <w:r w:rsidRPr="00436976">
        <w:rPr>
          <w:lang w:val="en-GB"/>
        </w:rPr>
        <w:tab/>
      </w:r>
      <w:r w:rsidRPr="00436976">
        <w:rPr>
          <w:lang w:val="en-GB"/>
        </w:rPr>
        <w:tab/>
        <w:t>Marek NOWICKI</w:t>
      </w:r>
    </w:p>
    <w:p w:rsidR="00B665F9" w:rsidRPr="00436976" w:rsidRDefault="00B665F9" w:rsidP="00B665F9">
      <w:pPr>
        <w:autoSpaceDE w:val="0"/>
        <w:autoSpaceDN w:val="0"/>
        <w:adjustRightInd w:val="0"/>
        <w:jc w:val="both"/>
        <w:rPr>
          <w:lang w:val="en-GB"/>
        </w:rPr>
      </w:pPr>
      <w:r w:rsidRPr="00436976">
        <w:rPr>
          <w:lang w:val="en-GB"/>
        </w:rPr>
        <w:t xml:space="preserve">   Executive Officer </w:t>
      </w:r>
      <w:r w:rsidRPr="00436976">
        <w:rPr>
          <w:lang w:val="en-GB"/>
        </w:rPr>
        <w:tab/>
      </w:r>
      <w:r w:rsidRPr="00436976">
        <w:rPr>
          <w:lang w:val="en-GB"/>
        </w:rPr>
        <w:tab/>
        <w:t xml:space="preserve"> </w:t>
      </w:r>
      <w:r w:rsidRPr="00436976">
        <w:rPr>
          <w:lang w:val="en-GB"/>
        </w:rPr>
        <w:tab/>
      </w:r>
      <w:r w:rsidRPr="00436976">
        <w:rPr>
          <w:lang w:val="en-GB"/>
        </w:rPr>
        <w:tab/>
      </w:r>
      <w:r w:rsidRPr="00436976">
        <w:rPr>
          <w:lang w:val="en-GB"/>
        </w:rPr>
        <w:tab/>
      </w:r>
      <w:r w:rsidRPr="00436976">
        <w:rPr>
          <w:lang w:val="en-GB"/>
        </w:rPr>
        <w:tab/>
      </w:r>
      <w:r w:rsidRPr="00436976">
        <w:rPr>
          <w:lang w:val="en-GB"/>
        </w:rPr>
        <w:tab/>
        <w:t>Presiding Member</w:t>
      </w:r>
    </w:p>
    <w:p w:rsidR="00F3555A" w:rsidRPr="00436976" w:rsidRDefault="00F3555A" w:rsidP="00F3555A">
      <w:pPr>
        <w:tabs>
          <w:tab w:val="left" w:pos="360"/>
        </w:tabs>
        <w:autoSpaceDE w:val="0"/>
        <w:autoSpaceDN w:val="0"/>
        <w:adjustRightInd w:val="0"/>
        <w:jc w:val="both"/>
        <w:rPr>
          <w:bCs/>
          <w:lang w:val="en-GB"/>
        </w:rPr>
      </w:pPr>
    </w:p>
    <w:p w:rsidR="00FD61AE" w:rsidRPr="00436976" w:rsidRDefault="00FD61AE" w:rsidP="00F3555A">
      <w:pPr>
        <w:rPr>
          <w:lang w:val="en-GB"/>
        </w:rPr>
      </w:pPr>
    </w:p>
    <w:p w:rsidR="00FD61AE" w:rsidRPr="00436976" w:rsidRDefault="00FD61AE" w:rsidP="00F3555A">
      <w:pPr>
        <w:rPr>
          <w:lang w:val="en-GB"/>
        </w:rPr>
      </w:pPr>
    </w:p>
    <w:p w:rsidR="00FD61AE" w:rsidRPr="00436976" w:rsidRDefault="00FD61AE" w:rsidP="00F3555A">
      <w:pPr>
        <w:rPr>
          <w:lang w:val="en-GB"/>
        </w:rPr>
      </w:pPr>
    </w:p>
    <w:p w:rsidR="00FD61AE" w:rsidRPr="00436976" w:rsidRDefault="00FD61AE" w:rsidP="00F3555A">
      <w:pPr>
        <w:rPr>
          <w:lang w:val="en-GB"/>
        </w:rPr>
      </w:pPr>
    </w:p>
    <w:p w:rsidR="00FD61AE" w:rsidRPr="00436976" w:rsidRDefault="00FD61AE" w:rsidP="00F3555A">
      <w:pPr>
        <w:rPr>
          <w:lang w:val="en-GB"/>
        </w:rPr>
      </w:pPr>
    </w:p>
    <w:p w:rsidR="00FD61AE" w:rsidRPr="00436976" w:rsidRDefault="00FD61AE" w:rsidP="00F3555A">
      <w:pPr>
        <w:rPr>
          <w:lang w:val="en-GB"/>
        </w:rPr>
      </w:pPr>
    </w:p>
    <w:p w:rsidR="00FD61AE" w:rsidRPr="00436976" w:rsidRDefault="00FD61AE" w:rsidP="00F3555A">
      <w:pPr>
        <w:rPr>
          <w:lang w:val="en-GB"/>
        </w:rPr>
      </w:pPr>
    </w:p>
    <w:p w:rsidR="00FD61AE" w:rsidRPr="00436976" w:rsidRDefault="00FD61AE" w:rsidP="00F3555A">
      <w:pPr>
        <w:rPr>
          <w:lang w:val="en-GB"/>
        </w:rPr>
      </w:pPr>
    </w:p>
    <w:p w:rsidR="00FD61AE" w:rsidRPr="00436976" w:rsidRDefault="00FD61AE" w:rsidP="00F3555A">
      <w:pPr>
        <w:rPr>
          <w:lang w:val="en-GB"/>
        </w:rPr>
      </w:pPr>
    </w:p>
    <w:p w:rsidR="00FD61AE" w:rsidRPr="00436976" w:rsidRDefault="00FD61AE" w:rsidP="00F3555A">
      <w:pPr>
        <w:rPr>
          <w:lang w:val="en-GB"/>
        </w:rPr>
      </w:pPr>
    </w:p>
    <w:p w:rsidR="00FD61AE" w:rsidRPr="00436976" w:rsidRDefault="00FD61AE" w:rsidP="00F3555A">
      <w:pPr>
        <w:rPr>
          <w:lang w:val="en-GB"/>
        </w:rPr>
      </w:pPr>
    </w:p>
    <w:p w:rsidR="00FD61AE" w:rsidRPr="00436976" w:rsidRDefault="00FD61AE" w:rsidP="00F3555A">
      <w:pPr>
        <w:rPr>
          <w:lang w:val="en-GB"/>
        </w:rPr>
      </w:pPr>
    </w:p>
    <w:p w:rsidR="00A14F39" w:rsidRPr="00436976" w:rsidRDefault="00A14F39" w:rsidP="00F3555A">
      <w:pPr>
        <w:rPr>
          <w:lang w:val="en-GB"/>
        </w:rPr>
      </w:pPr>
    </w:p>
    <w:p w:rsidR="00A14F39" w:rsidRPr="00436976" w:rsidRDefault="00A14F39" w:rsidP="00F3555A">
      <w:pPr>
        <w:rPr>
          <w:lang w:val="en-GB"/>
        </w:rPr>
      </w:pPr>
    </w:p>
    <w:p w:rsidR="00A14F39" w:rsidRPr="00436976" w:rsidRDefault="00A14F39" w:rsidP="00F3555A">
      <w:pPr>
        <w:rPr>
          <w:lang w:val="en-GB"/>
        </w:rPr>
      </w:pPr>
    </w:p>
    <w:p w:rsidR="00A14F39" w:rsidRPr="00436976" w:rsidRDefault="00A14F39" w:rsidP="00F3555A">
      <w:pPr>
        <w:rPr>
          <w:lang w:val="en-GB"/>
        </w:rPr>
      </w:pPr>
    </w:p>
    <w:p w:rsidR="008F03DC" w:rsidRPr="00436976" w:rsidRDefault="008F03DC" w:rsidP="008F03DC">
      <w:pPr>
        <w:jc w:val="right"/>
        <w:rPr>
          <w:i/>
          <w:lang w:val="en-GB"/>
        </w:rPr>
      </w:pPr>
      <w:r w:rsidRPr="00436976">
        <w:rPr>
          <w:i/>
          <w:lang w:val="en-GB"/>
        </w:rPr>
        <w:t>Annex</w:t>
      </w:r>
    </w:p>
    <w:p w:rsidR="004C104C" w:rsidRPr="00436976" w:rsidRDefault="004C104C" w:rsidP="004C104C">
      <w:pPr>
        <w:jc w:val="center"/>
        <w:rPr>
          <w:b/>
          <w:lang w:val="en-GB"/>
        </w:rPr>
      </w:pPr>
    </w:p>
    <w:p w:rsidR="00F52A7B" w:rsidRPr="00436976" w:rsidRDefault="00F52A7B" w:rsidP="004C104C">
      <w:pPr>
        <w:jc w:val="center"/>
        <w:rPr>
          <w:lang w:val="en-GB"/>
        </w:rPr>
      </w:pPr>
      <w:r w:rsidRPr="00436976">
        <w:rPr>
          <w:b/>
          <w:lang w:val="en-GB"/>
        </w:rPr>
        <w:t>ABBREVIATIONS AND ACRONYMS</w:t>
      </w:r>
    </w:p>
    <w:p w:rsidR="00F52A7B" w:rsidRPr="00436976" w:rsidRDefault="00F52A7B" w:rsidP="00F52A7B">
      <w:pPr>
        <w:autoSpaceDE w:val="0"/>
        <w:jc w:val="both"/>
        <w:rPr>
          <w:lang w:val="en-GB"/>
        </w:rPr>
      </w:pPr>
    </w:p>
    <w:p w:rsidR="00F52A7B" w:rsidRPr="00436976" w:rsidRDefault="00F52A7B" w:rsidP="00F52A7B">
      <w:pPr>
        <w:autoSpaceDE w:val="0"/>
        <w:jc w:val="both"/>
        <w:rPr>
          <w:lang w:val="en-GB"/>
        </w:rPr>
      </w:pPr>
    </w:p>
    <w:p w:rsidR="00F52A7B" w:rsidRPr="00436976" w:rsidRDefault="00F52A7B" w:rsidP="00F52A7B">
      <w:pPr>
        <w:autoSpaceDE w:val="0"/>
        <w:jc w:val="both"/>
        <w:rPr>
          <w:lang w:val="en-GB"/>
        </w:rPr>
      </w:pPr>
      <w:r w:rsidRPr="00436976">
        <w:rPr>
          <w:b/>
          <w:lang w:val="en-GB"/>
        </w:rPr>
        <w:t xml:space="preserve">CCIU </w:t>
      </w:r>
      <w:r w:rsidRPr="00436976">
        <w:rPr>
          <w:lang w:val="en-GB"/>
        </w:rPr>
        <w:t>- Central Criminal Investigation Unit</w:t>
      </w:r>
    </w:p>
    <w:p w:rsidR="00F52A7B" w:rsidRPr="00436976" w:rsidRDefault="00F52A7B" w:rsidP="00F52A7B">
      <w:pPr>
        <w:autoSpaceDE w:val="0"/>
        <w:jc w:val="both"/>
        <w:rPr>
          <w:lang w:val="en-GB"/>
        </w:rPr>
      </w:pPr>
      <w:r w:rsidRPr="00436976">
        <w:rPr>
          <w:b/>
          <w:lang w:val="en-GB"/>
        </w:rPr>
        <w:t xml:space="preserve">CCPR – </w:t>
      </w:r>
      <w:r w:rsidRPr="00436976">
        <w:rPr>
          <w:lang w:val="en-GB"/>
        </w:rPr>
        <w:t>International Covenant on Civil and Political Rights</w:t>
      </w:r>
    </w:p>
    <w:p w:rsidR="00F52A7B" w:rsidRPr="00436976" w:rsidRDefault="00F52A7B" w:rsidP="00F52A7B">
      <w:pPr>
        <w:autoSpaceDE w:val="0"/>
        <w:jc w:val="both"/>
        <w:rPr>
          <w:lang w:val="en-GB"/>
        </w:rPr>
      </w:pPr>
      <w:r w:rsidRPr="00436976">
        <w:rPr>
          <w:b/>
          <w:lang w:val="en-GB"/>
        </w:rPr>
        <w:t xml:space="preserve">DOJ </w:t>
      </w:r>
      <w:r w:rsidRPr="00436976">
        <w:rPr>
          <w:lang w:val="en-GB"/>
        </w:rPr>
        <w:t>- Department of Justice</w:t>
      </w:r>
    </w:p>
    <w:p w:rsidR="00F52A7B" w:rsidRPr="00436976" w:rsidRDefault="00F52A7B" w:rsidP="00F52A7B">
      <w:pPr>
        <w:autoSpaceDE w:val="0"/>
        <w:jc w:val="both"/>
        <w:rPr>
          <w:lang w:val="en-GB"/>
        </w:rPr>
      </w:pPr>
      <w:r w:rsidRPr="00436976">
        <w:rPr>
          <w:b/>
          <w:lang w:val="en-GB"/>
        </w:rPr>
        <w:t>DPPO</w:t>
      </w:r>
      <w:r w:rsidRPr="00436976">
        <w:rPr>
          <w:lang w:val="en-GB"/>
        </w:rPr>
        <w:t xml:space="preserve"> - District Public Prosecutor’s Office</w:t>
      </w:r>
    </w:p>
    <w:p w:rsidR="00F52A7B" w:rsidRPr="00436976" w:rsidRDefault="00F52A7B" w:rsidP="00F52A7B">
      <w:pPr>
        <w:autoSpaceDE w:val="0"/>
        <w:jc w:val="both"/>
        <w:rPr>
          <w:lang w:val="en-GB"/>
        </w:rPr>
      </w:pPr>
      <w:r w:rsidRPr="00436976">
        <w:rPr>
          <w:b/>
          <w:lang w:val="en-GB"/>
        </w:rPr>
        <w:t>ECHR</w:t>
      </w:r>
      <w:r w:rsidRPr="00436976">
        <w:rPr>
          <w:lang w:val="en-GB"/>
        </w:rPr>
        <w:t xml:space="preserve"> - European Convention on Human Rights</w:t>
      </w:r>
    </w:p>
    <w:p w:rsidR="00F52A7B" w:rsidRPr="00436976" w:rsidRDefault="00F52A7B" w:rsidP="00F52A7B">
      <w:pPr>
        <w:autoSpaceDE w:val="0"/>
        <w:jc w:val="both"/>
        <w:rPr>
          <w:lang w:val="en-GB"/>
        </w:rPr>
      </w:pPr>
      <w:r w:rsidRPr="00436976">
        <w:rPr>
          <w:b/>
          <w:lang w:val="en-GB"/>
        </w:rPr>
        <w:t xml:space="preserve">ECtHR </w:t>
      </w:r>
      <w:r w:rsidRPr="00436976">
        <w:rPr>
          <w:lang w:val="en-GB"/>
        </w:rPr>
        <w:t xml:space="preserve">- European Court of Human Rights </w:t>
      </w:r>
    </w:p>
    <w:p w:rsidR="00F52A7B" w:rsidRPr="00436976" w:rsidRDefault="00F52A7B" w:rsidP="00F52A7B">
      <w:pPr>
        <w:autoSpaceDE w:val="0"/>
        <w:jc w:val="both"/>
        <w:rPr>
          <w:lang w:val="en-GB"/>
        </w:rPr>
      </w:pPr>
      <w:r w:rsidRPr="00436976">
        <w:rPr>
          <w:b/>
          <w:lang w:val="en-GB"/>
        </w:rPr>
        <w:t>EU</w:t>
      </w:r>
      <w:r w:rsidRPr="00436976">
        <w:rPr>
          <w:lang w:val="en-GB"/>
        </w:rPr>
        <w:t xml:space="preserve"> – European Union</w:t>
      </w:r>
    </w:p>
    <w:p w:rsidR="00F52A7B" w:rsidRPr="00436976" w:rsidRDefault="00F52A7B" w:rsidP="00F52A7B">
      <w:pPr>
        <w:autoSpaceDE w:val="0"/>
        <w:jc w:val="both"/>
        <w:rPr>
          <w:lang w:val="en-GB"/>
        </w:rPr>
      </w:pPr>
      <w:r w:rsidRPr="00436976">
        <w:rPr>
          <w:b/>
          <w:lang w:val="en-GB"/>
        </w:rPr>
        <w:t>EULEX</w:t>
      </w:r>
      <w:r w:rsidRPr="00436976">
        <w:rPr>
          <w:lang w:val="en-GB"/>
        </w:rPr>
        <w:t xml:space="preserve"> - European Union Rule of Law Mission in Kosovo</w:t>
      </w:r>
    </w:p>
    <w:p w:rsidR="00F52A7B" w:rsidRPr="00436976" w:rsidRDefault="00F52A7B" w:rsidP="00F52A7B">
      <w:pPr>
        <w:autoSpaceDE w:val="0"/>
        <w:jc w:val="both"/>
        <w:rPr>
          <w:lang w:val="en-GB"/>
        </w:rPr>
      </w:pPr>
      <w:r w:rsidRPr="00436976">
        <w:rPr>
          <w:b/>
          <w:lang w:val="en-GB"/>
        </w:rPr>
        <w:t xml:space="preserve">FRY </w:t>
      </w:r>
      <w:r w:rsidRPr="00436976">
        <w:rPr>
          <w:lang w:val="en-GB"/>
        </w:rPr>
        <w:t>-</w:t>
      </w:r>
      <w:r w:rsidR="00E36B66" w:rsidRPr="00436976">
        <w:rPr>
          <w:lang w:val="en-GB"/>
        </w:rPr>
        <w:t xml:space="preserve"> Federal Republic of Yugoslavia</w:t>
      </w:r>
    </w:p>
    <w:p w:rsidR="00E36B66" w:rsidRPr="00436976" w:rsidRDefault="00E36B66" w:rsidP="00E36B66">
      <w:pPr>
        <w:autoSpaceDE w:val="0"/>
        <w:spacing w:line="276" w:lineRule="auto"/>
        <w:jc w:val="both"/>
        <w:rPr>
          <w:b/>
          <w:lang w:val="en-GB"/>
        </w:rPr>
      </w:pPr>
      <w:r w:rsidRPr="00436976">
        <w:rPr>
          <w:rFonts w:cs="CAGLHH+TimesNewRoman"/>
          <w:b/>
          <w:color w:val="000000"/>
          <w:lang w:val="en-GB"/>
        </w:rPr>
        <w:t>GC</w:t>
      </w:r>
      <w:r w:rsidRPr="00436976">
        <w:rPr>
          <w:rFonts w:cs="CAGLHH+TimesNewRoman"/>
          <w:color w:val="000000"/>
          <w:lang w:val="en-GB"/>
        </w:rPr>
        <w:t xml:space="preserve"> - Grand Chamber of the European Court</w:t>
      </w:r>
      <w:r w:rsidRPr="00436976">
        <w:rPr>
          <w:lang w:val="en-GB"/>
        </w:rPr>
        <w:t xml:space="preserve"> of Human Rights</w:t>
      </w:r>
    </w:p>
    <w:p w:rsidR="00F52A7B" w:rsidRPr="00436976" w:rsidRDefault="00F52A7B" w:rsidP="00F52A7B">
      <w:pPr>
        <w:autoSpaceDE w:val="0"/>
        <w:jc w:val="both"/>
        <w:rPr>
          <w:lang w:val="en-GB"/>
        </w:rPr>
      </w:pPr>
      <w:r w:rsidRPr="00436976">
        <w:rPr>
          <w:b/>
          <w:lang w:val="en-GB"/>
        </w:rPr>
        <w:t xml:space="preserve">HRAP </w:t>
      </w:r>
      <w:r w:rsidRPr="00436976">
        <w:rPr>
          <w:lang w:val="en-GB"/>
        </w:rPr>
        <w:t>- Human Rights Advisory Panel</w:t>
      </w:r>
    </w:p>
    <w:p w:rsidR="00F52A7B" w:rsidRPr="00436976" w:rsidRDefault="00F52A7B" w:rsidP="00F52A7B">
      <w:pPr>
        <w:autoSpaceDE w:val="0"/>
        <w:jc w:val="both"/>
        <w:rPr>
          <w:lang w:val="en-GB"/>
        </w:rPr>
      </w:pPr>
      <w:r w:rsidRPr="00436976">
        <w:rPr>
          <w:b/>
          <w:lang w:val="en-GB"/>
        </w:rPr>
        <w:t>HRC</w:t>
      </w:r>
      <w:r w:rsidRPr="00436976">
        <w:rPr>
          <w:lang w:val="en-GB"/>
        </w:rPr>
        <w:t xml:space="preserve"> – United Nation Human Rights Committee</w:t>
      </w:r>
    </w:p>
    <w:p w:rsidR="00F52A7B" w:rsidRPr="00436976" w:rsidRDefault="00F52A7B" w:rsidP="00F52A7B">
      <w:pPr>
        <w:autoSpaceDE w:val="0"/>
        <w:jc w:val="both"/>
        <w:rPr>
          <w:lang w:val="en-GB"/>
        </w:rPr>
      </w:pPr>
      <w:r w:rsidRPr="00436976">
        <w:rPr>
          <w:b/>
          <w:lang w:val="en-GB"/>
        </w:rPr>
        <w:t xml:space="preserve">IACtHR </w:t>
      </w:r>
      <w:r w:rsidRPr="00436976">
        <w:rPr>
          <w:lang w:val="en-GB"/>
        </w:rPr>
        <w:t>– Inter-American Court of Human Rights</w:t>
      </w:r>
    </w:p>
    <w:p w:rsidR="00F52A7B" w:rsidRPr="00436976" w:rsidRDefault="00F52A7B" w:rsidP="00F52A7B">
      <w:pPr>
        <w:autoSpaceDE w:val="0"/>
        <w:jc w:val="both"/>
        <w:rPr>
          <w:lang w:val="en-GB"/>
        </w:rPr>
      </w:pPr>
      <w:r w:rsidRPr="00436976">
        <w:rPr>
          <w:b/>
          <w:lang w:val="en-GB"/>
        </w:rPr>
        <w:t>ICMP</w:t>
      </w:r>
      <w:r w:rsidRPr="00436976">
        <w:rPr>
          <w:lang w:val="en-GB"/>
        </w:rPr>
        <w:t xml:space="preserve"> - International Commission of Missing Persons</w:t>
      </w:r>
    </w:p>
    <w:p w:rsidR="00F52A7B" w:rsidRPr="00436976" w:rsidRDefault="00F52A7B" w:rsidP="00F52A7B">
      <w:pPr>
        <w:autoSpaceDE w:val="0"/>
        <w:jc w:val="both"/>
        <w:rPr>
          <w:lang w:val="en-GB"/>
        </w:rPr>
      </w:pPr>
      <w:r w:rsidRPr="00436976">
        <w:rPr>
          <w:b/>
          <w:lang w:val="en-GB"/>
        </w:rPr>
        <w:t>ICRC</w:t>
      </w:r>
      <w:r w:rsidRPr="00436976">
        <w:rPr>
          <w:lang w:val="en-GB"/>
        </w:rPr>
        <w:t xml:space="preserve"> - International Committee of the Red Cross</w:t>
      </w:r>
    </w:p>
    <w:p w:rsidR="00F52A7B" w:rsidRPr="00436976" w:rsidRDefault="00F52A7B" w:rsidP="00F52A7B">
      <w:pPr>
        <w:autoSpaceDE w:val="0"/>
        <w:jc w:val="both"/>
        <w:rPr>
          <w:lang w:val="en-GB"/>
        </w:rPr>
      </w:pPr>
      <w:r w:rsidRPr="00436976">
        <w:rPr>
          <w:b/>
          <w:lang w:val="en-GB"/>
        </w:rPr>
        <w:t xml:space="preserve">ICTY </w:t>
      </w:r>
      <w:r w:rsidRPr="00436976">
        <w:rPr>
          <w:lang w:val="en-GB"/>
        </w:rPr>
        <w:t>- International Criminal Tribunal for former Yugoslavia</w:t>
      </w:r>
    </w:p>
    <w:p w:rsidR="00F52A7B" w:rsidRPr="00436976" w:rsidRDefault="00F52A7B" w:rsidP="00F52A7B">
      <w:pPr>
        <w:autoSpaceDE w:val="0"/>
        <w:jc w:val="both"/>
        <w:rPr>
          <w:lang w:val="en-GB"/>
        </w:rPr>
      </w:pPr>
      <w:r w:rsidRPr="00436976">
        <w:rPr>
          <w:b/>
          <w:lang w:val="en-GB"/>
        </w:rPr>
        <w:t>KFOR</w:t>
      </w:r>
      <w:r w:rsidRPr="00436976">
        <w:rPr>
          <w:lang w:val="en-GB"/>
        </w:rPr>
        <w:t xml:space="preserve"> - International Security Force (commonly known as Kosovo Force)</w:t>
      </w:r>
    </w:p>
    <w:p w:rsidR="00F52A7B" w:rsidRPr="00436976" w:rsidRDefault="00F52A7B" w:rsidP="00F52A7B">
      <w:pPr>
        <w:autoSpaceDE w:val="0"/>
        <w:jc w:val="both"/>
        <w:rPr>
          <w:lang w:val="en-GB"/>
        </w:rPr>
      </w:pPr>
      <w:r w:rsidRPr="00436976">
        <w:rPr>
          <w:b/>
          <w:lang w:val="en-GB"/>
        </w:rPr>
        <w:t>KLA</w:t>
      </w:r>
      <w:r w:rsidRPr="00436976">
        <w:rPr>
          <w:lang w:val="en-GB"/>
        </w:rPr>
        <w:t xml:space="preserve"> - Kosovo Liberation Army</w:t>
      </w:r>
    </w:p>
    <w:p w:rsidR="00F52A7B" w:rsidRPr="00436976" w:rsidRDefault="00F52A7B" w:rsidP="00F52A7B">
      <w:pPr>
        <w:autoSpaceDE w:val="0"/>
        <w:jc w:val="both"/>
        <w:rPr>
          <w:b/>
          <w:lang w:val="en-GB"/>
        </w:rPr>
      </w:pPr>
      <w:r w:rsidRPr="00436976">
        <w:rPr>
          <w:b/>
          <w:lang w:val="en-GB"/>
        </w:rPr>
        <w:t xml:space="preserve">MoU - </w:t>
      </w:r>
      <w:r w:rsidRPr="00436976">
        <w:rPr>
          <w:lang w:val="en-GB"/>
        </w:rPr>
        <w:t>Memorandum of Understanding</w:t>
      </w:r>
    </w:p>
    <w:p w:rsidR="00F52A7B" w:rsidRPr="00436976" w:rsidRDefault="00F52A7B" w:rsidP="00F52A7B">
      <w:pPr>
        <w:autoSpaceDE w:val="0"/>
        <w:jc w:val="both"/>
        <w:rPr>
          <w:lang w:val="en-GB"/>
        </w:rPr>
      </w:pPr>
      <w:r w:rsidRPr="00436976">
        <w:rPr>
          <w:b/>
          <w:lang w:val="en-GB"/>
        </w:rPr>
        <w:t xml:space="preserve">MPU </w:t>
      </w:r>
      <w:r w:rsidRPr="00436976">
        <w:rPr>
          <w:lang w:val="en-GB"/>
        </w:rPr>
        <w:t>- Missing Persons Unit</w:t>
      </w:r>
    </w:p>
    <w:p w:rsidR="00F52A7B" w:rsidRPr="00436976" w:rsidRDefault="00F52A7B" w:rsidP="00F52A7B">
      <w:pPr>
        <w:autoSpaceDE w:val="0"/>
        <w:jc w:val="both"/>
        <w:rPr>
          <w:lang w:val="en-GB"/>
        </w:rPr>
      </w:pPr>
      <w:r w:rsidRPr="00436976">
        <w:rPr>
          <w:b/>
          <w:lang w:val="en-GB"/>
        </w:rPr>
        <w:t>NATO</w:t>
      </w:r>
      <w:r w:rsidRPr="00436976">
        <w:rPr>
          <w:lang w:val="en-GB"/>
        </w:rPr>
        <w:t xml:space="preserve"> - North Atlantic Treaty Organization </w:t>
      </w:r>
    </w:p>
    <w:p w:rsidR="00F52A7B" w:rsidRPr="00436976" w:rsidRDefault="00F52A7B" w:rsidP="00F52A7B">
      <w:pPr>
        <w:autoSpaceDE w:val="0"/>
        <w:jc w:val="both"/>
        <w:rPr>
          <w:lang w:val="en-GB"/>
        </w:rPr>
      </w:pPr>
      <w:r w:rsidRPr="00436976">
        <w:rPr>
          <w:b/>
          <w:lang w:val="en-GB"/>
        </w:rPr>
        <w:t>OMPF</w:t>
      </w:r>
      <w:r w:rsidRPr="00436976">
        <w:rPr>
          <w:lang w:val="en-GB"/>
        </w:rPr>
        <w:t xml:space="preserve"> - Office on Missing Persons and Forensics</w:t>
      </w:r>
    </w:p>
    <w:p w:rsidR="00F52A7B" w:rsidRPr="00436976" w:rsidRDefault="00F52A7B" w:rsidP="00F52A7B">
      <w:pPr>
        <w:autoSpaceDE w:val="0"/>
        <w:jc w:val="both"/>
        <w:rPr>
          <w:lang w:val="en-GB"/>
        </w:rPr>
      </w:pPr>
      <w:r w:rsidRPr="00436976">
        <w:rPr>
          <w:b/>
          <w:lang w:val="en-GB"/>
        </w:rPr>
        <w:t>OSCE</w:t>
      </w:r>
      <w:r w:rsidRPr="00436976">
        <w:rPr>
          <w:lang w:val="en-GB"/>
        </w:rPr>
        <w:t xml:space="preserve"> - Organization for Security and Cooperation in Europe</w:t>
      </w:r>
    </w:p>
    <w:p w:rsidR="00F52A7B" w:rsidRPr="00436976" w:rsidRDefault="00F52A7B" w:rsidP="00F52A7B">
      <w:pPr>
        <w:autoSpaceDE w:val="0"/>
        <w:jc w:val="both"/>
        <w:rPr>
          <w:lang w:val="en-GB"/>
        </w:rPr>
      </w:pPr>
      <w:r w:rsidRPr="00436976">
        <w:rPr>
          <w:b/>
          <w:lang w:val="en-GB"/>
        </w:rPr>
        <w:t>RIU</w:t>
      </w:r>
      <w:r w:rsidRPr="00436976">
        <w:rPr>
          <w:lang w:val="en-GB"/>
        </w:rPr>
        <w:t xml:space="preserve"> - Regional Investigation Unit</w:t>
      </w:r>
    </w:p>
    <w:p w:rsidR="00F52A7B" w:rsidRPr="00436976" w:rsidRDefault="00F52A7B" w:rsidP="00F52A7B">
      <w:pPr>
        <w:autoSpaceDE w:val="0"/>
        <w:jc w:val="both"/>
        <w:rPr>
          <w:lang w:val="en-GB"/>
        </w:rPr>
      </w:pPr>
      <w:r w:rsidRPr="00436976">
        <w:rPr>
          <w:b/>
          <w:lang w:val="en-GB"/>
        </w:rPr>
        <w:t>SRSG</w:t>
      </w:r>
      <w:r w:rsidRPr="00436976">
        <w:rPr>
          <w:lang w:val="en-GB"/>
        </w:rPr>
        <w:t xml:space="preserve"> - Special Representative of the Secretary-General </w:t>
      </w:r>
    </w:p>
    <w:p w:rsidR="00F52A7B" w:rsidRPr="00436976" w:rsidRDefault="00F52A7B" w:rsidP="00F52A7B">
      <w:pPr>
        <w:autoSpaceDE w:val="0"/>
        <w:jc w:val="both"/>
        <w:rPr>
          <w:lang w:val="en-GB"/>
        </w:rPr>
      </w:pPr>
      <w:r w:rsidRPr="00436976">
        <w:rPr>
          <w:b/>
          <w:lang w:val="en-GB"/>
        </w:rPr>
        <w:t>UN</w:t>
      </w:r>
      <w:r w:rsidRPr="00436976">
        <w:rPr>
          <w:lang w:val="en-GB"/>
        </w:rPr>
        <w:t xml:space="preserve"> - United Nations</w:t>
      </w:r>
    </w:p>
    <w:p w:rsidR="00F52A7B" w:rsidRPr="00436976" w:rsidRDefault="00F52A7B" w:rsidP="00F52A7B">
      <w:pPr>
        <w:autoSpaceDE w:val="0"/>
        <w:jc w:val="both"/>
        <w:rPr>
          <w:lang w:val="en-GB"/>
        </w:rPr>
      </w:pPr>
      <w:r w:rsidRPr="00436976">
        <w:rPr>
          <w:b/>
          <w:lang w:val="en-GB"/>
        </w:rPr>
        <w:t xml:space="preserve">UNHCR </w:t>
      </w:r>
      <w:r w:rsidRPr="00436976">
        <w:rPr>
          <w:lang w:val="en-GB"/>
        </w:rPr>
        <w:t>- United Nations High Commissioner for Refugees</w:t>
      </w:r>
    </w:p>
    <w:p w:rsidR="00F52A7B" w:rsidRPr="00436976" w:rsidRDefault="00F52A7B" w:rsidP="00F52A7B">
      <w:pPr>
        <w:autoSpaceDE w:val="0"/>
        <w:jc w:val="both"/>
        <w:rPr>
          <w:lang w:val="en-GB"/>
        </w:rPr>
      </w:pPr>
      <w:r w:rsidRPr="00436976">
        <w:rPr>
          <w:b/>
          <w:lang w:val="en-GB"/>
        </w:rPr>
        <w:t>UNMIK</w:t>
      </w:r>
      <w:r w:rsidRPr="00436976">
        <w:rPr>
          <w:lang w:val="en-GB"/>
        </w:rPr>
        <w:t xml:space="preserve"> - United Nations Interim Administration Mission in Kosovo </w:t>
      </w:r>
    </w:p>
    <w:p w:rsidR="00F52A7B" w:rsidRPr="00436976" w:rsidRDefault="00F52A7B" w:rsidP="00F52A7B">
      <w:pPr>
        <w:autoSpaceDE w:val="0"/>
        <w:jc w:val="both"/>
        <w:rPr>
          <w:lang w:val="en-GB"/>
        </w:rPr>
      </w:pPr>
      <w:r w:rsidRPr="00436976">
        <w:rPr>
          <w:b/>
          <w:lang w:val="en-GB"/>
        </w:rPr>
        <w:t>VRIC</w:t>
      </w:r>
      <w:r w:rsidRPr="00436976">
        <w:rPr>
          <w:lang w:val="en-GB"/>
        </w:rPr>
        <w:t xml:space="preserve"> - Victim Recovery and Identification Commission</w:t>
      </w:r>
    </w:p>
    <w:p w:rsidR="00F52A7B" w:rsidRPr="00436976" w:rsidRDefault="00F52A7B" w:rsidP="00F52A7B">
      <w:pPr>
        <w:autoSpaceDE w:val="0"/>
        <w:jc w:val="both"/>
        <w:rPr>
          <w:lang w:val="en-GB"/>
        </w:rPr>
      </w:pPr>
      <w:r w:rsidRPr="00436976">
        <w:rPr>
          <w:b/>
          <w:lang w:val="en-GB"/>
        </w:rPr>
        <w:t xml:space="preserve">WCIU </w:t>
      </w:r>
      <w:r w:rsidRPr="00436976">
        <w:rPr>
          <w:lang w:val="en-GB"/>
        </w:rPr>
        <w:t>- War Crimes Investigation Unit</w:t>
      </w:r>
    </w:p>
    <w:p w:rsidR="00F52A7B" w:rsidRPr="00436976" w:rsidRDefault="00F52A7B" w:rsidP="00F52A7B">
      <w:pPr>
        <w:autoSpaceDE w:val="0"/>
        <w:jc w:val="both"/>
        <w:rPr>
          <w:lang w:val="en-GB"/>
        </w:rPr>
      </w:pPr>
    </w:p>
    <w:p w:rsidR="00F52A7B" w:rsidRPr="00436976" w:rsidRDefault="00F52A7B" w:rsidP="00F52A7B">
      <w:pPr>
        <w:tabs>
          <w:tab w:val="left" w:pos="5670"/>
        </w:tabs>
        <w:ind w:left="450"/>
        <w:rPr>
          <w:lang w:val="en-GB"/>
        </w:rPr>
      </w:pPr>
    </w:p>
    <w:p w:rsidR="00262B44" w:rsidRPr="00436976" w:rsidRDefault="00262B44" w:rsidP="00F52A7B">
      <w:pPr>
        <w:pStyle w:val="ListParagraph"/>
        <w:autoSpaceDE w:val="0"/>
        <w:ind w:left="360"/>
        <w:jc w:val="both"/>
        <w:rPr>
          <w:lang w:val="en-GB"/>
        </w:rPr>
      </w:pPr>
    </w:p>
    <w:sectPr w:rsidR="00262B44" w:rsidRPr="00436976" w:rsidSect="004B7BC3">
      <w:headerReference w:type="even" r:id="rId10"/>
      <w:headerReference w:type="default" r:id="rId11"/>
      <w:footerReference w:type="even" r:id="rId12"/>
      <w:footerReference w:type="default" r:id="rId13"/>
      <w:headerReference w:type="first" r:id="rId14"/>
      <w:footerReference w:type="first" r:id="rId15"/>
      <w:pgSz w:w="12240" w:h="15840"/>
      <w:pgMar w:top="568" w:right="1467" w:bottom="851" w:left="1418" w:header="426" w:footer="11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C72" w:rsidRDefault="007A3C72">
      <w:r>
        <w:separator/>
      </w:r>
    </w:p>
  </w:endnote>
  <w:endnote w:type="continuationSeparator" w:id="0">
    <w:p w:rsidR="007A3C72" w:rsidRDefault="007A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C3" w:rsidRDefault="004B7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C3" w:rsidRDefault="004B7B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C3" w:rsidRDefault="004B7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C72" w:rsidRDefault="007A3C72">
      <w:r>
        <w:separator/>
      </w:r>
    </w:p>
  </w:footnote>
  <w:footnote w:type="continuationSeparator" w:id="0">
    <w:p w:rsidR="007A3C72" w:rsidRDefault="007A3C72">
      <w:r>
        <w:continuationSeparator/>
      </w:r>
    </w:p>
  </w:footnote>
  <w:footnote w:id="1">
    <w:p w:rsidR="000A1CAA" w:rsidRPr="00EA7EB9" w:rsidRDefault="000A1CAA">
      <w:pPr>
        <w:pStyle w:val="FootnoteText"/>
        <w:rPr>
          <w:lang w:val="en-US"/>
        </w:rPr>
      </w:pPr>
      <w:r w:rsidRPr="00E065DF">
        <w:rPr>
          <w:rStyle w:val="FootnoteReference"/>
          <w:sz w:val="20"/>
        </w:rPr>
        <w:footnoteRef/>
      </w:r>
      <w:r>
        <w:t xml:space="preserve"> </w:t>
      </w:r>
      <w:r w:rsidRPr="008E5342">
        <w:rPr>
          <w:rFonts w:ascii="Times New Roman" w:hAnsi="Times New Roman"/>
          <w:sz w:val="20"/>
        </w:rPr>
        <w:t>A list of abbreviations and acronyms contained in the text can be found in the attached Annex.</w:t>
      </w:r>
    </w:p>
  </w:footnote>
  <w:footnote w:id="2">
    <w:p w:rsidR="000A1CAA" w:rsidRPr="00680EF0" w:rsidRDefault="000A1CAA" w:rsidP="00680EF0">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Behrami and Behrami v. France</w:t>
      </w:r>
      <w:r w:rsidRPr="00680EF0">
        <w:rPr>
          <w:rFonts w:ascii="Times New Roman" w:hAnsi="Times New Roman"/>
          <w:sz w:val="20"/>
        </w:rPr>
        <w:t xml:space="preserve"> and </w:t>
      </w:r>
      <w:r w:rsidRPr="00680EF0">
        <w:rPr>
          <w:rFonts w:ascii="Times New Roman" w:hAnsi="Times New Roman"/>
          <w:i/>
          <w:sz w:val="20"/>
        </w:rPr>
        <w:t>Saramati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0A1CAA" w:rsidRDefault="000A1CAA" w:rsidP="00EB76E7">
      <w:pPr>
        <w:pStyle w:val="FootnoteText"/>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The database is available at: </w:t>
      </w:r>
      <w:r w:rsidRPr="003F2396">
        <w:rPr>
          <w:rFonts w:ascii="Times New Roman" w:hAnsi="Times New Roman"/>
          <w:sz w:val="20"/>
        </w:rPr>
        <w:t>http://www.ic-mp.org/fdmsweb/index.php?w=mp_details_popup&amp;l=en</w:t>
      </w:r>
      <w:r>
        <w:rPr>
          <w:rFonts w:ascii="Times New Roman" w:hAnsi="Times New Roman"/>
          <w:sz w:val="20"/>
        </w:rPr>
        <w:t xml:space="preserve"> (accessed on 22 July 2013).</w:t>
      </w:r>
    </w:p>
  </w:footnote>
  <w:footnote w:id="4">
    <w:p w:rsidR="000A1CAA" w:rsidRDefault="000A1CAA" w:rsidP="00EB76E7">
      <w:pPr>
        <w:pStyle w:val="FootnoteText"/>
        <w:jc w:val="both"/>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C3" w:rsidRDefault="004B7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AA" w:rsidRPr="000722CE" w:rsidRDefault="000A1CAA">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45139A">
      <w:rPr>
        <w:noProof/>
        <w:sz w:val="20"/>
        <w:szCs w:val="20"/>
      </w:rPr>
      <w:t>26</w:t>
    </w:r>
    <w:r w:rsidRPr="000722CE">
      <w:rPr>
        <w:sz w:val="20"/>
        <w:szCs w:val="20"/>
      </w:rPr>
      <w:fldChar w:fldCharType="end"/>
    </w:r>
  </w:p>
  <w:p w:rsidR="000A1CAA" w:rsidRDefault="000A1C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C3" w:rsidRDefault="004B7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97C"/>
    <w:multiLevelType w:val="hybridMultilevel"/>
    <w:tmpl w:val="3572C51A"/>
    <w:lvl w:ilvl="0" w:tplc="E96EAA8C">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FFE7DDD"/>
    <w:multiLevelType w:val="hybridMultilevel"/>
    <w:tmpl w:val="C29668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59E5860"/>
    <w:multiLevelType w:val="hybridMultilevel"/>
    <w:tmpl w:val="C908AC4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76661"/>
    <w:multiLevelType w:val="hybridMultilevel"/>
    <w:tmpl w:val="5F5EF4FA"/>
    <w:lvl w:ilvl="0" w:tplc="D4A8D5D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B242E"/>
    <w:multiLevelType w:val="hybridMultilevel"/>
    <w:tmpl w:val="DA3CDB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3841526C"/>
    <w:multiLevelType w:val="hybridMultilevel"/>
    <w:tmpl w:val="9B9AD82A"/>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3731AD"/>
    <w:multiLevelType w:val="hybridMultilevel"/>
    <w:tmpl w:val="213C6E0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90FD1"/>
    <w:multiLevelType w:val="hybridMultilevel"/>
    <w:tmpl w:val="3C2AA0DE"/>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BE50D3D"/>
    <w:multiLevelType w:val="hybridMultilevel"/>
    <w:tmpl w:val="2E1EBF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9FA41DA"/>
    <w:multiLevelType w:val="hybridMultilevel"/>
    <w:tmpl w:val="631EE9A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9039FF"/>
    <w:multiLevelType w:val="hybridMultilevel"/>
    <w:tmpl w:val="6E786B98"/>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633A"/>
    <w:rsid w:val="00012BBB"/>
    <w:rsid w:val="000209DC"/>
    <w:rsid w:val="00025BD8"/>
    <w:rsid w:val="00025D67"/>
    <w:rsid w:val="00025DC5"/>
    <w:rsid w:val="000300C8"/>
    <w:rsid w:val="00033882"/>
    <w:rsid w:val="00054459"/>
    <w:rsid w:val="000565C8"/>
    <w:rsid w:val="00057B23"/>
    <w:rsid w:val="00060474"/>
    <w:rsid w:val="00060C31"/>
    <w:rsid w:val="000618F1"/>
    <w:rsid w:val="00063A91"/>
    <w:rsid w:val="00064E34"/>
    <w:rsid w:val="0006709A"/>
    <w:rsid w:val="000722CE"/>
    <w:rsid w:val="00073F8C"/>
    <w:rsid w:val="00075D74"/>
    <w:rsid w:val="00075FC9"/>
    <w:rsid w:val="00077145"/>
    <w:rsid w:val="00077DE9"/>
    <w:rsid w:val="0008098F"/>
    <w:rsid w:val="00082B3A"/>
    <w:rsid w:val="000875E1"/>
    <w:rsid w:val="0009345C"/>
    <w:rsid w:val="00094FA3"/>
    <w:rsid w:val="000A1CAA"/>
    <w:rsid w:val="000A233E"/>
    <w:rsid w:val="000A2B2C"/>
    <w:rsid w:val="000A2DD5"/>
    <w:rsid w:val="000A4C40"/>
    <w:rsid w:val="000A7439"/>
    <w:rsid w:val="000B139B"/>
    <w:rsid w:val="000B46F6"/>
    <w:rsid w:val="000B51F2"/>
    <w:rsid w:val="000B5C31"/>
    <w:rsid w:val="000C7B8E"/>
    <w:rsid w:val="000D0543"/>
    <w:rsid w:val="000D1606"/>
    <w:rsid w:val="000D59E7"/>
    <w:rsid w:val="000D5BCF"/>
    <w:rsid w:val="000E12A4"/>
    <w:rsid w:val="000E23B6"/>
    <w:rsid w:val="000E2A2A"/>
    <w:rsid w:val="000E5CB5"/>
    <w:rsid w:val="000F7E70"/>
    <w:rsid w:val="001003BC"/>
    <w:rsid w:val="0010071F"/>
    <w:rsid w:val="00100966"/>
    <w:rsid w:val="001018B0"/>
    <w:rsid w:val="00102BB7"/>
    <w:rsid w:val="00112756"/>
    <w:rsid w:val="0011549D"/>
    <w:rsid w:val="00117054"/>
    <w:rsid w:val="00120189"/>
    <w:rsid w:val="001279D7"/>
    <w:rsid w:val="001350FB"/>
    <w:rsid w:val="001403C2"/>
    <w:rsid w:val="00140481"/>
    <w:rsid w:val="0014048A"/>
    <w:rsid w:val="0014335B"/>
    <w:rsid w:val="001449C9"/>
    <w:rsid w:val="0014568C"/>
    <w:rsid w:val="00150048"/>
    <w:rsid w:val="001512A5"/>
    <w:rsid w:val="001530BE"/>
    <w:rsid w:val="00153694"/>
    <w:rsid w:val="00154829"/>
    <w:rsid w:val="00154E5E"/>
    <w:rsid w:val="0016154E"/>
    <w:rsid w:val="00164407"/>
    <w:rsid w:val="0016631D"/>
    <w:rsid w:val="001727C1"/>
    <w:rsid w:val="00173F75"/>
    <w:rsid w:val="0018424E"/>
    <w:rsid w:val="001852D9"/>
    <w:rsid w:val="00190271"/>
    <w:rsid w:val="00194191"/>
    <w:rsid w:val="00194800"/>
    <w:rsid w:val="00194D93"/>
    <w:rsid w:val="001A08B0"/>
    <w:rsid w:val="001A5F6B"/>
    <w:rsid w:val="001A6816"/>
    <w:rsid w:val="001B1A1A"/>
    <w:rsid w:val="001B241F"/>
    <w:rsid w:val="001B44B7"/>
    <w:rsid w:val="001B4620"/>
    <w:rsid w:val="001B4F35"/>
    <w:rsid w:val="001B7E46"/>
    <w:rsid w:val="001C0F0F"/>
    <w:rsid w:val="001C2229"/>
    <w:rsid w:val="001D2468"/>
    <w:rsid w:val="001D2D59"/>
    <w:rsid w:val="001D311B"/>
    <w:rsid w:val="001D45F5"/>
    <w:rsid w:val="001D4A00"/>
    <w:rsid w:val="001D5261"/>
    <w:rsid w:val="001D5F2F"/>
    <w:rsid w:val="001D73A9"/>
    <w:rsid w:val="001E2A7D"/>
    <w:rsid w:val="001E2DC6"/>
    <w:rsid w:val="001E3D4F"/>
    <w:rsid w:val="001E5241"/>
    <w:rsid w:val="001E5F6A"/>
    <w:rsid w:val="001E6809"/>
    <w:rsid w:val="001F1FF3"/>
    <w:rsid w:val="001F36C9"/>
    <w:rsid w:val="00201CB5"/>
    <w:rsid w:val="00203109"/>
    <w:rsid w:val="00203FF4"/>
    <w:rsid w:val="002074D2"/>
    <w:rsid w:val="00207EF6"/>
    <w:rsid w:val="002119C2"/>
    <w:rsid w:val="00215EA8"/>
    <w:rsid w:val="00222D2F"/>
    <w:rsid w:val="00225BAB"/>
    <w:rsid w:val="00231EE6"/>
    <w:rsid w:val="0023308F"/>
    <w:rsid w:val="0023537F"/>
    <w:rsid w:val="002360DA"/>
    <w:rsid w:val="002473B8"/>
    <w:rsid w:val="002524AF"/>
    <w:rsid w:val="0025400A"/>
    <w:rsid w:val="002624D6"/>
    <w:rsid w:val="00262A2F"/>
    <w:rsid w:val="00262B44"/>
    <w:rsid w:val="00267300"/>
    <w:rsid w:val="0027204F"/>
    <w:rsid w:val="002745CF"/>
    <w:rsid w:val="00276E5E"/>
    <w:rsid w:val="002816FF"/>
    <w:rsid w:val="00281FB3"/>
    <w:rsid w:val="00287CA7"/>
    <w:rsid w:val="00291D60"/>
    <w:rsid w:val="00294415"/>
    <w:rsid w:val="00296C0B"/>
    <w:rsid w:val="00296DF3"/>
    <w:rsid w:val="002A18D6"/>
    <w:rsid w:val="002B4F4E"/>
    <w:rsid w:val="002B6427"/>
    <w:rsid w:val="002C03BD"/>
    <w:rsid w:val="002C1C5F"/>
    <w:rsid w:val="002C3F36"/>
    <w:rsid w:val="002C656A"/>
    <w:rsid w:val="002C6D03"/>
    <w:rsid w:val="002D093A"/>
    <w:rsid w:val="002D5DD4"/>
    <w:rsid w:val="002E02C5"/>
    <w:rsid w:val="002E2507"/>
    <w:rsid w:val="002F1033"/>
    <w:rsid w:val="002F2D96"/>
    <w:rsid w:val="002F42C3"/>
    <w:rsid w:val="00304D18"/>
    <w:rsid w:val="00310F91"/>
    <w:rsid w:val="00312441"/>
    <w:rsid w:val="003172E9"/>
    <w:rsid w:val="00323223"/>
    <w:rsid w:val="00326663"/>
    <w:rsid w:val="003324DB"/>
    <w:rsid w:val="00332682"/>
    <w:rsid w:val="00333CD6"/>
    <w:rsid w:val="00336CEF"/>
    <w:rsid w:val="0033770D"/>
    <w:rsid w:val="003456E7"/>
    <w:rsid w:val="003472C6"/>
    <w:rsid w:val="00347A90"/>
    <w:rsid w:val="00347B71"/>
    <w:rsid w:val="00350C81"/>
    <w:rsid w:val="00351324"/>
    <w:rsid w:val="00351429"/>
    <w:rsid w:val="00352C9E"/>
    <w:rsid w:val="0035305F"/>
    <w:rsid w:val="00354676"/>
    <w:rsid w:val="0035788B"/>
    <w:rsid w:val="00361768"/>
    <w:rsid w:val="003618D3"/>
    <w:rsid w:val="00361CFA"/>
    <w:rsid w:val="00361F4D"/>
    <w:rsid w:val="00372A92"/>
    <w:rsid w:val="0037385F"/>
    <w:rsid w:val="00376887"/>
    <w:rsid w:val="003778B8"/>
    <w:rsid w:val="00385A0E"/>
    <w:rsid w:val="00390AE0"/>
    <w:rsid w:val="003936AC"/>
    <w:rsid w:val="00393E8D"/>
    <w:rsid w:val="00396B39"/>
    <w:rsid w:val="003A0AF8"/>
    <w:rsid w:val="003B1C80"/>
    <w:rsid w:val="003B2010"/>
    <w:rsid w:val="003B43F3"/>
    <w:rsid w:val="003B5FD2"/>
    <w:rsid w:val="003B7650"/>
    <w:rsid w:val="003C080C"/>
    <w:rsid w:val="003C3BF4"/>
    <w:rsid w:val="003C6352"/>
    <w:rsid w:val="003D1D0C"/>
    <w:rsid w:val="003D2EB6"/>
    <w:rsid w:val="003E2101"/>
    <w:rsid w:val="003E5FA6"/>
    <w:rsid w:val="003E74BC"/>
    <w:rsid w:val="003F02F9"/>
    <w:rsid w:val="003F2396"/>
    <w:rsid w:val="003F3442"/>
    <w:rsid w:val="003F53A4"/>
    <w:rsid w:val="003F54A4"/>
    <w:rsid w:val="003F5D1D"/>
    <w:rsid w:val="003F7337"/>
    <w:rsid w:val="00400CED"/>
    <w:rsid w:val="00401FD2"/>
    <w:rsid w:val="00402699"/>
    <w:rsid w:val="00402B8F"/>
    <w:rsid w:val="004202B2"/>
    <w:rsid w:val="00427A31"/>
    <w:rsid w:val="0043016C"/>
    <w:rsid w:val="00434BB6"/>
    <w:rsid w:val="00436976"/>
    <w:rsid w:val="00440E88"/>
    <w:rsid w:val="0044246C"/>
    <w:rsid w:val="0044617E"/>
    <w:rsid w:val="0045139A"/>
    <w:rsid w:val="00456871"/>
    <w:rsid w:val="00466DCF"/>
    <w:rsid w:val="00466E32"/>
    <w:rsid w:val="004714D9"/>
    <w:rsid w:val="00472580"/>
    <w:rsid w:val="0047658A"/>
    <w:rsid w:val="00476D2E"/>
    <w:rsid w:val="004812CA"/>
    <w:rsid w:val="00481A93"/>
    <w:rsid w:val="004915E6"/>
    <w:rsid w:val="00491629"/>
    <w:rsid w:val="00491B79"/>
    <w:rsid w:val="004938F7"/>
    <w:rsid w:val="00495CD7"/>
    <w:rsid w:val="004961CD"/>
    <w:rsid w:val="004A010F"/>
    <w:rsid w:val="004A04CF"/>
    <w:rsid w:val="004A3362"/>
    <w:rsid w:val="004A4D35"/>
    <w:rsid w:val="004A4D91"/>
    <w:rsid w:val="004A5616"/>
    <w:rsid w:val="004B394B"/>
    <w:rsid w:val="004B5E0A"/>
    <w:rsid w:val="004B7BC3"/>
    <w:rsid w:val="004B7D5D"/>
    <w:rsid w:val="004C0211"/>
    <w:rsid w:val="004C104C"/>
    <w:rsid w:val="004C541B"/>
    <w:rsid w:val="004C5F53"/>
    <w:rsid w:val="004C7167"/>
    <w:rsid w:val="004C78D2"/>
    <w:rsid w:val="004D2F71"/>
    <w:rsid w:val="004D4C22"/>
    <w:rsid w:val="004D4DDE"/>
    <w:rsid w:val="004D6808"/>
    <w:rsid w:val="004E6657"/>
    <w:rsid w:val="004F0CAB"/>
    <w:rsid w:val="004F77C7"/>
    <w:rsid w:val="005006CB"/>
    <w:rsid w:val="005009F9"/>
    <w:rsid w:val="00505C47"/>
    <w:rsid w:val="005125E2"/>
    <w:rsid w:val="00512BF7"/>
    <w:rsid w:val="00514229"/>
    <w:rsid w:val="00514F78"/>
    <w:rsid w:val="00516F75"/>
    <w:rsid w:val="00517087"/>
    <w:rsid w:val="00523386"/>
    <w:rsid w:val="005257F4"/>
    <w:rsid w:val="00530D21"/>
    <w:rsid w:val="00535F04"/>
    <w:rsid w:val="005376DF"/>
    <w:rsid w:val="00537784"/>
    <w:rsid w:val="005400F7"/>
    <w:rsid w:val="0054280D"/>
    <w:rsid w:val="005430D1"/>
    <w:rsid w:val="00544E5A"/>
    <w:rsid w:val="00545A64"/>
    <w:rsid w:val="00551A17"/>
    <w:rsid w:val="00552913"/>
    <w:rsid w:val="005551E0"/>
    <w:rsid w:val="00562343"/>
    <w:rsid w:val="00565DC7"/>
    <w:rsid w:val="0057242B"/>
    <w:rsid w:val="0057242F"/>
    <w:rsid w:val="0057625F"/>
    <w:rsid w:val="00577877"/>
    <w:rsid w:val="005836D4"/>
    <w:rsid w:val="00584113"/>
    <w:rsid w:val="00590DAC"/>
    <w:rsid w:val="005917EC"/>
    <w:rsid w:val="0059532D"/>
    <w:rsid w:val="00595E25"/>
    <w:rsid w:val="005A1063"/>
    <w:rsid w:val="005A1E72"/>
    <w:rsid w:val="005A21F6"/>
    <w:rsid w:val="005A2D17"/>
    <w:rsid w:val="005A358A"/>
    <w:rsid w:val="005A6E82"/>
    <w:rsid w:val="005B5EAD"/>
    <w:rsid w:val="005C110C"/>
    <w:rsid w:val="005C4D36"/>
    <w:rsid w:val="005C51CD"/>
    <w:rsid w:val="005C65AF"/>
    <w:rsid w:val="005D10AB"/>
    <w:rsid w:val="005D12FB"/>
    <w:rsid w:val="005D2F19"/>
    <w:rsid w:val="005E361B"/>
    <w:rsid w:val="005E37C5"/>
    <w:rsid w:val="005E4930"/>
    <w:rsid w:val="005E6E2D"/>
    <w:rsid w:val="005E7C8F"/>
    <w:rsid w:val="005F4187"/>
    <w:rsid w:val="005F686D"/>
    <w:rsid w:val="00605915"/>
    <w:rsid w:val="00606C3D"/>
    <w:rsid w:val="006111E0"/>
    <w:rsid w:val="00612EEF"/>
    <w:rsid w:val="00617352"/>
    <w:rsid w:val="006205AF"/>
    <w:rsid w:val="0062454F"/>
    <w:rsid w:val="00626D88"/>
    <w:rsid w:val="006366D0"/>
    <w:rsid w:val="00645FDE"/>
    <w:rsid w:val="00646CA4"/>
    <w:rsid w:val="00647569"/>
    <w:rsid w:val="00653ED0"/>
    <w:rsid w:val="006552EA"/>
    <w:rsid w:val="00657388"/>
    <w:rsid w:val="00657746"/>
    <w:rsid w:val="00661955"/>
    <w:rsid w:val="00666D9E"/>
    <w:rsid w:val="006719B3"/>
    <w:rsid w:val="00672EBE"/>
    <w:rsid w:val="00675587"/>
    <w:rsid w:val="00677B90"/>
    <w:rsid w:val="00680C67"/>
    <w:rsid w:val="00680EF0"/>
    <w:rsid w:val="006840D8"/>
    <w:rsid w:val="00684DAD"/>
    <w:rsid w:val="0068501A"/>
    <w:rsid w:val="00687ACD"/>
    <w:rsid w:val="006918C3"/>
    <w:rsid w:val="006946F9"/>
    <w:rsid w:val="00697A75"/>
    <w:rsid w:val="006A1710"/>
    <w:rsid w:val="006A7C1B"/>
    <w:rsid w:val="006B052B"/>
    <w:rsid w:val="006B153E"/>
    <w:rsid w:val="006B49BF"/>
    <w:rsid w:val="006B4A0D"/>
    <w:rsid w:val="006B5D21"/>
    <w:rsid w:val="006C083D"/>
    <w:rsid w:val="006C155F"/>
    <w:rsid w:val="006C632F"/>
    <w:rsid w:val="006D151D"/>
    <w:rsid w:val="006D223B"/>
    <w:rsid w:val="006D36DF"/>
    <w:rsid w:val="006D3708"/>
    <w:rsid w:val="006D7AFB"/>
    <w:rsid w:val="006D7BF7"/>
    <w:rsid w:val="006D7EF2"/>
    <w:rsid w:val="006E0A93"/>
    <w:rsid w:val="006E2B68"/>
    <w:rsid w:val="006E4A4A"/>
    <w:rsid w:val="006E6458"/>
    <w:rsid w:val="006F185F"/>
    <w:rsid w:val="006F3248"/>
    <w:rsid w:val="006F3551"/>
    <w:rsid w:val="006F35D0"/>
    <w:rsid w:val="006F38CB"/>
    <w:rsid w:val="006F4F29"/>
    <w:rsid w:val="00701BF3"/>
    <w:rsid w:val="00703BFB"/>
    <w:rsid w:val="00703CEB"/>
    <w:rsid w:val="007047D9"/>
    <w:rsid w:val="007113B1"/>
    <w:rsid w:val="00712F51"/>
    <w:rsid w:val="00713389"/>
    <w:rsid w:val="00717451"/>
    <w:rsid w:val="00717EFD"/>
    <w:rsid w:val="0072411F"/>
    <w:rsid w:val="00724F0F"/>
    <w:rsid w:val="007262D2"/>
    <w:rsid w:val="007268E7"/>
    <w:rsid w:val="007270F4"/>
    <w:rsid w:val="00734B20"/>
    <w:rsid w:val="00735744"/>
    <w:rsid w:val="00745771"/>
    <w:rsid w:val="0075283E"/>
    <w:rsid w:val="00752CBA"/>
    <w:rsid w:val="0075317B"/>
    <w:rsid w:val="00754113"/>
    <w:rsid w:val="007551D8"/>
    <w:rsid w:val="0075735D"/>
    <w:rsid w:val="007645ED"/>
    <w:rsid w:val="0076572E"/>
    <w:rsid w:val="00767CBA"/>
    <w:rsid w:val="0077155C"/>
    <w:rsid w:val="00773988"/>
    <w:rsid w:val="00780319"/>
    <w:rsid w:val="007805BB"/>
    <w:rsid w:val="00781C73"/>
    <w:rsid w:val="00784973"/>
    <w:rsid w:val="00784C56"/>
    <w:rsid w:val="00784E54"/>
    <w:rsid w:val="00785097"/>
    <w:rsid w:val="00795BB4"/>
    <w:rsid w:val="00797093"/>
    <w:rsid w:val="007A3C72"/>
    <w:rsid w:val="007A4CC9"/>
    <w:rsid w:val="007A510C"/>
    <w:rsid w:val="007A59FF"/>
    <w:rsid w:val="007A6603"/>
    <w:rsid w:val="007A6FCD"/>
    <w:rsid w:val="007B03A4"/>
    <w:rsid w:val="007B087A"/>
    <w:rsid w:val="007B1A13"/>
    <w:rsid w:val="007B7582"/>
    <w:rsid w:val="007C02C1"/>
    <w:rsid w:val="007C1589"/>
    <w:rsid w:val="007C1B88"/>
    <w:rsid w:val="007C36B5"/>
    <w:rsid w:val="007C49D1"/>
    <w:rsid w:val="007C65E0"/>
    <w:rsid w:val="007D0F2F"/>
    <w:rsid w:val="007E2E9C"/>
    <w:rsid w:val="007F093F"/>
    <w:rsid w:val="007F1851"/>
    <w:rsid w:val="007F5C0F"/>
    <w:rsid w:val="007F6002"/>
    <w:rsid w:val="007F656B"/>
    <w:rsid w:val="007F7030"/>
    <w:rsid w:val="007F758E"/>
    <w:rsid w:val="00802594"/>
    <w:rsid w:val="0080739D"/>
    <w:rsid w:val="00807460"/>
    <w:rsid w:val="00810AF7"/>
    <w:rsid w:val="008113E6"/>
    <w:rsid w:val="00814B70"/>
    <w:rsid w:val="008163AC"/>
    <w:rsid w:val="00816B4C"/>
    <w:rsid w:val="00823B43"/>
    <w:rsid w:val="00825E0B"/>
    <w:rsid w:val="00831692"/>
    <w:rsid w:val="00831702"/>
    <w:rsid w:val="00831AA2"/>
    <w:rsid w:val="00834F5B"/>
    <w:rsid w:val="0083635A"/>
    <w:rsid w:val="008366D7"/>
    <w:rsid w:val="0084147D"/>
    <w:rsid w:val="00850866"/>
    <w:rsid w:val="00851DA7"/>
    <w:rsid w:val="00853B40"/>
    <w:rsid w:val="0086268D"/>
    <w:rsid w:val="0086321C"/>
    <w:rsid w:val="0087266C"/>
    <w:rsid w:val="008726F1"/>
    <w:rsid w:val="00872E4B"/>
    <w:rsid w:val="0087511F"/>
    <w:rsid w:val="00876521"/>
    <w:rsid w:val="008766C9"/>
    <w:rsid w:val="0088164D"/>
    <w:rsid w:val="00882D6D"/>
    <w:rsid w:val="00885816"/>
    <w:rsid w:val="00887FE3"/>
    <w:rsid w:val="008917D7"/>
    <w:rsid w:val="0089240E"/>
    <w:rsid w:val="00893462"/>
    <w:rsid w:val="008940D8"/>
    <w:rsid w:val="00897911"/>
    <w:rsid w:val="008A3876"/>
    <w:rsid w:val="008B3F0E"/>
    <w:rsid w:val="008B6B8A"/>
    <w:rsid w:val="008B7A73"/>
    <w:rsid w:val="008C06A6"/>
    <w:rsid w:val="008C2153"/>
    <w:rsid w:val="008C4C37"/>
    <w:rsid w:val="008D136A"/>
    <w:rsid w:val="008D3411"/>
    <w:rsid w:val="008D4588"/>
    <w:rsid w:val="008D5CBD"/>
    <w:rsid w:val="008E3F48"/>
    <w:rsid w:val="008E5342"/>
    <w:rsid w:val="008F03DC"/>
    <w:rsid w:val="008F30A1"/>
    <w:rsid w:val="008F3FAD"/>
    <w:rsid w:val="008F490D"/>
    <w:rsid w:val="00900AAF"/>
    <w:rsid w:val="0090154E"/>
    <w:rsid w:val="00901792"/>
    <w:rsid w:val="00901E52"/>
    <w:rsid w:val="00911C44"/>
    <w:rsid w:val="00911EF6"/>
    <w:rsid w:val="00922B29"/>
    <w:rsid w:val="00926E66"/>
    <w:rsid w:val="00927872"/>
    <w:rsid w:val="0092797B"/>
    <w:rsid w:val="009315B8"/>
    <w:rsid w:val="009326F1"/>
    <w:rsid w:val="00934452"/>
    <w:rsid w:val="00937791"/>
    <w:rsid w:val="00937A68"/>
    <w:rsid w:val="0094022F"/>
    <w:rsid w:val="00940B1C"/>
    <w:rsid w:val="00944C36"/>
    <w:rsid w:val="00950781"/>
    <w:rsid w:val="0095721D"/>
    <w:rsid w:val="0096600E"/>
    <w:rsid w:val="00970864"/>
    <w:rsid w:val="0097140F"/>
    <w:rsid w:val="00976363"/>
    <w:rsid w:val="009774EC"/>
    <w:rsid w:val="00977B5A"/>
    <w:rsid w:val="00980D8C"/>
    <w:rsid w:val="00981667"/>
    <w:rsid w:val="00987028"/>
    <w:rsid w:val="00994207"/>
    <w:rsid w:val="00994262"/>
    <w:rsid w:val="0099493F"/>
    <w:rsid w:val="009A66F2"/>
    <w:rsid w:val="009B49EF"/>
    <w:rsid w:val="009B4CF8"/>
    <w:rsid w:val="009B4D35"/>
    <w:rsid w:val="009B66ED"/>
    <w:rsid w:val="009C0420"/>
    <w:rsid w:val="009C1927"/>
    <w:rsid w:val="009C28A7"/>
    <w:rsid w:val="009C2C61"/>
    <w:rsid w:val="009C4826"/>
    <w:rsid w:val="009D0690"/>
    <w:rsid w:val="009D5130"/>
    <w:rsid w:val="009D707F"/>
    <w:rsid w:val="009D7E10"/>
    <w:rsid w:val="009E0847"/>
    <w:rsid w:val="009E1487"/>
    <w:rsid w:val="009E17E8"/>
    <w:rsid w:val="009E7E60"/>
    <w:rsid w:val="00A05B20"/>
    <w:rsid w:val="00A05DAD"/>
    <w:rsid w:val="00A06923"/>
    <w:rsid w:val="00A07DDA"/>
    <w:rsid w:val="00A11F3A"/>
    <w:rsid w:val="00A12C99"/>
    <w:rsid w:val="00A13072"/>
    <w:rsid w:val="00A14F39"/>
    <w:rsid w:val="00A152E2"/>
    <w:rsid w:val="00A16F56"/>
    <w:rsid w:val="00A221B9"/>
    <w:rsid w:val="00A24033"/>
    <w:rsid w:val="00A25273"/>
    <w:rsid w:val="00A25496"/>
    <w:rsid w:val="00A30113"/>
    <w:rsid w:val="00A30137"/>
    <w:rsid w:val="00A30F7A"/>
    <w:rsid w:val="00A32181"/>
    <w:rsid w:val="00A35BE4"/>
    <w:rsid w:val="00A40F98"/>
    <w:rsid w:val="00A42AEA"/>
    <w:rsid w:val="00A43AA7"/>
    <w:rsid w:val="00A445B9"/>
    <w:rsid w:val="00A44907"/>
    <w:rsid w:val="00A51E90"/>
    <w:rsid w:val="00A5380D"/>
    <w:rsid w:val="00A6154B"/>
    <w:rsid w:val="00A673B2"/>
    <w:rsid w:val="00A67D9F"/>
    <w:rsid w:val="00A70D0F"/>
    <w:rsid w:val="00A73D67"/>
    <w:rsid w:val="00A8238B"/>
    <w:rsid w:val="00A82736"/>
    <w:rsid w:val="00A835D5"/>
    <w:rsid w:val="00A87586"/>
    <w:rsid w:val="00A87786"/>
    <w:rsid w:val="00A914FB"/>
    <w:rsid w:val="00A926CD"/>
    <w:rsid w:val="00A93272"/>
    <w:rsid w:val="00AA1371"/>
    <w:rsid w:val="00AA5BE1"/>
    <w:rsid w:val="00AA784D"/>
    <w:rsid w:val="00AB1AA6"/>
    <w:rsid w:val="00AB6BAC"/>
    <w:rsid w:val="00AC5768"/>
    <w:rsid w:val="00AC5877"/>
    <w:rsid w:val="00AC77BA"/>
    <w:rsid w:val="00AD31FE"/>
    <w:rsid w:val="00AD5960"/>
    <w:rsid w:val="00AD5EFF"/>
    <w:rsid w:val="00AD5FE6"/>
    <w:rsid w:val="00AF1CC4"/>
    <w:rsid w:val="00AF1E02"/>
    <w:rsid w:val="00AF457A"/>
    <w:rsid w:val="00AF51AB"/>
    <w:rsid w:val="00AF6CCA"/>
    <w:rsid w:val="00AF73E9"/>
    <w:rsid w:val="00B015CC"/>
    <w:rsid w:val="00B01D36"/>
    <w:rsid w:val="00B02218"/>
    <w:rsid w:val="00B06DCA"/>
    <w:rsid w:val="00B07154"/>
    <w:rsid w:val="00B07819"/>
    <w:rsid w:val="00B07C8E"/>
    <w:rsid w:val="00B07D4E"/>
    <w:rsid w:val="00B125A8"/>
    <w:rsid w:val="00B2007F"/>
    <w:rsid w:val="00B21A61"/>
    <w:rsid w:val="00B224F0"/>
    <w:rsid w:val="00B241DA"/>
    <w:rsid w:val="00B25262"/>
    <w:rsid w:val="00B255E5"/>
    <w:rsid w:val="00B25A3B"/>
    <w:rsid w:val="00B267B0"/>
    <w:rsid w:val="00B31934"/>
    <w:rsid w:val="00B3649B"/>
    <w:rsid w:val="00B45F68"/>
    <w:rsid w:val="00B50600"/>
    <w:rsid w:val="00B5340C"/>
    <w:rsid w:val="00B665F9"/>
    <w:rsid w:val="00B724DF"/>
    <w:rsid w:val="00B72B2C"/>
    <w:rsid w:val="00B80FC3"/>
    <w:rsid w:val="00B8102F"/>
    <w:rsid w:val="00B815D4"/>
    <w:rsid w:val="00B85CE4"/>
    <w:rsid w:val="00B92495"/>
    <w:rsid w:val="00BA0F5B"/>
    <w:rsid w:val="00BA2D7C"/>
    <w:rsid w:val="00BA50F9"/>
    <w:rsid w:val="00BB0B51"/>
    <w:rsid w:val="00BB18A5"/>
    <w:rsid w:val="00BB40BA"/>
    <w:rsid w:val="00BB6721"/>
    <w:rsid w:val="00BC607D"/>
    <w:rsid w:val="00BC6CD8"/>
    <w:rsid w:val="00BD07E7"/>
    <w:rsid w:val="00BD28B4"/>
    <w:rsid w:val="00BD2925"/>
    <w:rsid w:val="00BD54FE"/>
    <w:rsid w:val="00BD692D"/>
    <w:rsid w:val="00BE1580"/>
    <w:rsid w:val="00BE43F5"/>
    <w:rsid w:val="00BE4A07"/>
    <w:rsid w:val="00BE5617"/>
    <w:rsid w:val="00BE6093"/>
    <w:rsid w:val="00BF0249"/>
    <w:rsid w:val="00BF230C"/>
    <w:rsid w:val="00BF42E7"/>
    <w:rsid w:val="00BF7255"/>
    <w:rsid w:val="00C0330C"/>
    <w:rsid w:val="00C0731E"/>
    <w:rsid w:val="00C13A74"/>
    <w:rsid w:val="00C20453"/>
    <w:rsid w:val="00C2428D"/>
    <w:rsid w:val="00C31A87"/>
    <w:rsid w:val="00C320AE"/>
    <w:rsid w:val="00C376D6"/>
    <w:rsid w:val="00C376EA"/>
    <w:rsid w:val="00C37EFE"/>
    <w:rsid w:val="00C4646C"/>
    <w:rsid w:val="00C50E53"/>
    <w:rsid w:val="00C526FF"/>
    <w:rsid w:val="00C67379"/>
    <w:rsid w:val="00C71126"/>
    <w:rsid w:val="00C73131"/>
    <w:rsid w:val="00C734AD"/>
    <w:rsid w:val="00C74FE7"/>
    <w:rsid w:val="00C75A82"/>
    <w:rsid w:val="00C8278E"/>
    <w:rsid w:val="00C84D23"/>
    <w:rsid w:val="00C86523"/>
    <w:rsid w:val="00C905F1"/>
    <w:rsid w:val="00C921ED"/>
    <w:rsid w:val="00C9258D"/>
    <w:rsid w:val="00C961DD"/>
    <w:rsid w:val="00CA1155"/>
    <w:rsid w:val="00CA3E87"/>
    <w:rsid w:val="00CA646D"/>
    <w:rsid w:val="00CA6D64"/>
    <w:rsid w:val="00CA7AB3"/>
    <w:rsid w:val="00CB2DE1"/>
    <w:rsid w:val="00CB50DF"/>
    <w:rsid w:val="00CB6545"/>
    <w:rsid w:val="00CC2755"/>
    <w:rsid w:val="00CC6B19"/>
    <w:rsid w:val="00CC7B53"/>
    <w:rsid w:val="00CD3EBE"/>
    <w:rsid w:val="00CD43B3"/>
    <w:rsid w:val="00CE030B"/>
    <w:rsid w:val="00CE1148"/>
    <w:rsid w:val="00CE355C"/>
    <w:rsid w:val="00CE4137"/>
    <w:rsid w:val="00CE5788"/>
    <w:rsid w:val="00CF45E9"/>
    <w:rsid w:val="00D01AD3"/>
    <w:rsid w:val="00D112F1"/>
    <w:rsid w:val="00D12979"/>
    <w:rsid w:val="00D21BB0"/>
    <w:rsid w:val="00D225E7"/>
    <w:rsid w:val="00D23B40"/>
    <w:rsid w:val="00D23CC6"/>
    <w:rsid w:val="00D242DC"/>
    <w:rsid w:val="00D27B94"/>
    <w:rsid w:val="00D303D3"/>
    <w:rsid w:val="00D30F4B"/>
    <w:rsid w:val="00D30FFE"/>
    <w:rsid w:val="00D3228A"/>
    <w:rsid w:val="00D34351"/>
    <w:rsid w:val="00D447D2"/>
    <w:rsid w:val="00D4567F"/>
    <w:rsid w:val="00D47CF9"/>
    <w:rsid w:val="00D5239B"/>
    <w:rsid w:val="00D543C9"/>
    <w:rsid w:val="00D608AD"/>
    <w:rsid w:val="00D65E11"/>
    <w:rsid w:val="00D701E0"/>
    <w:rsid w:val="00D70475"/>
    <w:rsid w:val="00D7091A"/>
    <w:rsid w:val="00D75560"/>
    <w:rsid w:val="00D76B47"/>
    <w:rsid w:val="00D76CDF"/>
    <w:rsid w:val="00D80D13"/>
    <w:rsid w:val="00D8534B"/>
    <w:rsid w:val="00D85B39"/>
    <w:rsid w:val="00D87DE2"/>
    <w:rsid w:val="00D90D26"/>
    <w:rsid w:val="00DA40CA"/>
    <w:rsid w:val="00DA4E09"/>
    <w:rsid w:val="00DA770F"/>
    <w:rsid w:val="00DB76F7"/>
    <w:rsid w:val="00DB77A0"/>
    <w:rsid w:val="00DB7B75"/>
    <w:rsid w:val="00DC138E"/>
    <w:rsid w:val="00DC1BF8"/>
    <w:rsid w:val="00DC3D6A"/>
    <w:rsid w:val="00DD09F1"/>
    <w:rsid w:val="00DD0CA4"/>
    <w:rsid w:val="00DD20FA"/>
    <w:rsid w:val="00DD2E5D"/>
    <w:rsid w:val="00DD5917"/>
    <w:rsid w:val="00DD5FEF"/>
    <w:rsid w:val="00DD7F16"/>
    <w:rsid w:val="00DE2F99"/>
    <w:rsid w:val="00DE5F7E"/>
    <w:rsid w:val="00DE67C5"/>
    <w:rsid w:val="00DE6C97"/>
    <w:rsid w:val="00DE7D84"/>
    <w:rsid w:val="00DF1042"/>
    <w:rsid w:val="00DF2EAB"/>
    <w:rsid w:val="00DF44E4"/>
    <w:rsid w:val="00DF6BC4"/>
    <w:rsid w:val="00DF762D"/>
    <w:rsid w:val="00E000BF"/>
    <w:rsid w:val="00E03D6F"/>
    <w:rsid w:val="00E047AB"/>
    <w:rsid w:val="00E05D76"/>
    <w:rsid w:val="00E065DF"/>
    <w:rsid w:val="00E070CD"/>
    <w:rsid w:val="00E07C8C"/>
    <w:rsid w:val="00E110C7"/>
    <w:rsid w:val="00E13348"/>
    <w:rsid w:val="00E13615"/>
    <w:rsid w:val="00E1480A"/>
    <w:rsid w:val="00E200BD"/>
    <w:rsid w:val="00E23235"/>
    <w:rsid w:val="00E23A1F"/>
    <w:rsid w:val="00E30116"/>
    <w:rsid w:val="00E31976"/>
    <w:rsid w:val="00E35231"/>
    <w:rsid w:val="00E36B66"/>
    <w:rsid w:val="00E36FD3"/>
    <w:rsid w:val="00E37EC5"/>
    <w:rsid w:val="00E4729C"/>
    <w:rsid w:val="00E521EC"/>
    <w:rsid w:val="00E53F71"/>
    <w:rsid w:val="00E541F9"/>
    <w:rsid w:val="00E54208"/>
    <w:rsid w:val="00E60FA8"/>
    <w:rsid w:val="00E63CC3"/>
    <w:rsid w:val="00E646A4"/>
    <w:rsid w:val="00E646BB"/>
    <w:rsid w:val="00E64D10"/>
    <w:rsid w:val="00E6706B"/>
    <w:rsid w:val="00E7030E"/>
    <w:rsid w:val="00E72180"/>
    <w:rsid w:val="00E74C85"/>
    <w:rsid w:val="00E75490"/>
    <w:rsid w:val="00E764CC"/>
    <w:rsid w:val="00E81C89"/>
    <w:rsid w:val="00E825C6"/>
    <w:rsid w:val="00E850EE"/>
    <w:rsid w:val="00E85EAC"/>
    <w:rsid w:val="00E94F82"/>
    <w:rsid w:val="00E950C9"/>
    <w:rsid w:val="00E96458"/>
    <w:rsid w:val="00E96693"/>
    <w:rsid w:val="00E97353"/>
    <w:rsid w:val="00EA3340"/>
    <w:rsid w:val="00EA7E68"/>
    <w:rsid w:val="00EA7EB9"/>
    <w:rsid w:val="00EB03C7"/>
    <w:rsid w:val="00EB473C"/>
    <w:rsid w:val="00EB4B9B"/>
    <w:rsid w:val="00EB76E7"/>
    <w:rsid w:val="00EC167B"/>
    <w:rsid w:val="00EC3CA8"/>
    <w:rsid w:val="00EC4826"/>
    <w:rsid w:val="00EC4A34"/>
    <w:rsid w:val="00EC4F48"/>
    <w:rsid w:val="00EC50EC"/>
    <w:rsid w:val="00EC5791"/>
    <w:rsid w:val="00ED0A8D"/>
    <w:rsid w:val="00ED23F7"/>
    <w:rsid w:val="00ED2934"/>
    <w:rsid w:val="00ED3AEF"/>
    <w:rsid w:val="00EE0C5F"/>
    <w:rsid w:val="00EE3947"/>
    <w:rsid w:val="00EE4D62"/>
    <w:rsid w:val="00EF36E3"/>
    <w:rsid w:val="00F01237"/>
    <w:rsid w:val="00F0164D"/>
    <w:rsid w:val="00F025DE"/>
    <w:rsid w:val="00F02813"/>
    <w:rsid w:val="00F03C66"/>
    <w:rsid w:val="00F0758D"/>
    <w:rsid w:val="00F11EDC"/>
    <w:rsid w:val="00F12F42"/>
    <w:rsid w:val="00F21A8A"/>
    <w:rsid w:val="00F27A88"/>
    <w:rsid w:val="00F31F0C"/>
    <w:rsid w:val="00F3340B"/>
    <w:rsid w:val="00F34DC0"/>
    <w:rsid w:val="00F3555A"/>
    <w:rsid w:val="00F421E6"/>
    <w:rsid w:val="00F4241C"/>
    <w:rsid w:val="00F5028B"/>
    <w:rsid w:val="00F51C55"/>
    <w:rsid w:val="00F52A7B"/>
    <w:rsid w:val="00F52DB4"/>
    <w:rsid w:val="00F618C6"/>
    <w:rsid w:val="00F713C4"/>
    <w:rsid w:val="00F758A0"/>
    <w:rsid w:val="00F77EED"/>
    <w:rsid w:val="00F8023E"/>
    <w:rsid w:val="00F852C2"/>
    <w:rsid w:val="00F855B3"/>
    <w:rsid w:val="00F87807"/>
    <w:rsid w:val="00F90496"/>
    <w:rsid w:val="00F91764"/>
    <w:rsid w:val="00F9251B"/>
    <w:rsid w:val="00FA1A5C"/>
    <w:rsid w:val="00FA6A25"/>
    <w:rsid w:val="00FB0C9C"/>
    <w:rsid w:val="00FB75A8"/>
    <w:rsid w:val="00FB75ED"/>
    <w:rsid w:val="00FC3D4A"/>
    <w:rsid w:val="00FC7A63"/>
    <w:rsid w:val="00FD61AE"/>
    <w:rsid w:val="00FD6F50"/>
    <w:rsid w:val="00FE34F7"/>
    <w:rsid w:val="00FE3F6A"/>
    <w:rsid w:val="00FF26B8"/>
    <w:rsid w:val="00FF349B"/>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MediumGrid1-Accent21">
    <w:name w:val="Medium Grid 1 - Accent 21"/>
    <w:basedOn w:val="Normal"/>
    <w:uiPriority w:val="99"/>
    <w:qFormat/>
    <w:rsid w:val="00C0330C"/>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MediumGrid1-Accent21">
    <w:name w:val="Medium Grid 1 - Accent 21"/>
    <w:basedOn w:val="Normal"/>
    <w:uiPriority w:val="99"/>
    <w:qFormat/>
    <w:rsid w:val="00C0330C"/>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756">
      <w:bodyDiv w:val="1"/>
      <w:marLeft w:val="0"/>
      <w:marRight w:val="0"/>
      <w:marTop w:val="0"/>
      <w:marBottom w:val="0"/>
      <w:divBdr>
        <w:top w:val="none" w:sz="0" w:space="0" w:color="auto"/>
        <w:left w:val="none" w:sz="0" w:space="0" w:color="auto"/>
        <w:bottom w:val="none" w:sz="0" w:space="0" w:color="auto"/>
        <w:right w:val="none" w:sz="0" w:space="0" w:color="auto"/>
      </w:divBdr>
    </w:div>
    <w:div w:id="147093435">
      <w:bodyDiv w:val="1"/>
      <w:marLeft w:val="0"/>
      <w:marRight w:val="0"/>
      <w:marTop w:val="0"/>
      <w:marBottom w:val="0"/>
      <w:divBdr>
        <w:top w:val="none" w:sz="0" w:space="0" w:color="auto"/>
        <w:left w:val="none" w:sz="0" w:space="0" w:color="auto"/>
        <w:bottom w:val="none" w:sz="0" w:space="0" w:color="auto"/>
        <w:right w:val="none" w:sz="0" w:space="0" w:color="auto"/>
      </w:divBdr>
    </w:div>
    <w:div w:id="218058917">
      <w:bodyDiv w:val="1"/>
      <w:marLeft w:val="0"/>
      <w:marRight w:val="0"/>
      <w:marTop w:val="0"/>
      <w:marBottom w:val="0"/>
      <w:divBdr>
        <w:top w:val="none" w:sz="0" w:space="0" w:color="auto"/>
        <w:left w:val="none" w:sz="0" w:space="0" w:color="auto"/>
        <w:bottom w:val="none" w:sz="0" w:space="0" w:color="auto"/>
        <w:right w:val="none" w:sz="0" w:space="0" w:color="auto"/>
      </w:divBdr>
    </w:div>
    <w:div w:id="275606320">
      <w:bodyDiv w:val="1"/>
      <w:marLeft w:val="0"/>
      <w:marRight w:val="0"/>
      <w:marTop w:val="0"/>
      <w:marBottom w:val="0"/>
      <w:divBdr>
        <w:top w:val="none" w:sz="0" w:space="0" w:color="auto"/>
        <w:left w:val="none" w:sz="0" w:space="0" w:color="auto"/>
        <w:bottom w:val="none" w:sz="0" w:space="0" w:color="auto"/>
        <w:right w:val="none" w:sz="0" w:space="0" w:color="auto"/>
      </w:divBdr>
    </w:div>
    <w:div w:id="321739868">
      <w:bodyDiv w:val="1"/>
      <w:marLeft w:val="0"/>
      <w:marRight w:val="0"/>
      <w:marTop w:val="0"/>
      <w:marBottom w:val="0"/>
      <w:divBdr>
        <w:top w:val="none" w:sz="0" w:space="0" w:color="auto"/>
        <w:left w:val="none" w:sz="0" w:space="0" w:color="auto"/>
        <w:bottom w:val="none" w:sz="0" w:space="0" w:color="auto"/>
        <w:right w:val="none" w:sz="0" w:space="0" w:color="auto"/>
      </w:divBdr>
    </w:div>
    <w:div w:id="350299143">
      <w:bodyDiv w:val="1"/>
      <w:marLeft w:val="0"/>
      <w:marRight w:val="0"/>
      <w:marTop w:val="0"/>
      <w:marBottom w:val="0"/>
      <w:divBdr>
        <w:top w:val="none" w:sz="0" w:space="0" w:color="auto"/>
        <w:left w:val="none" w:sz="0" w:space="0" w:color="auto"/>
        <w:bottom w:val="none" w:sz="0" w:space="0" w:color="auto"/>
        <w:right w:val="none" w:sz="0" w:space="0" w:color="auto"/>
      </w:divBdr>
    </w:div>
    <w:div w:id="445732775">
      <w:bodyDiv w:val="1"/>
      <w:marLeft w:val="0"/>
      <w:marRight w:val="0"/>
      <w:marTop w:val="0"/>
      <w:marBottom w:val="0"/>
      <w:divBdr>
        <w:top w:val="none" w:sz="0" w:space="0" w:color="auto"/>
        <w:left w:val="none" w:sz="0" w:space="0" w:color="auto"/>
        <w:bottom w:val="none" w:sz="0" w:space="0" w:color="auto"/>
        <w:right w:val="none" w:sz="0" w:space="0" w:color="auto"/>
      </w:divBdr>
    </w:div>
    <w:div w:id="557205059">
      <w:bodyDiv w:val="1"/>
      <w:marLeft w:val="0"/>
      <w:marRight w:val="0"/>
      <w:marTop w:val="0"/>
      <w:marBottom w:val="0"/>
      <w:divBdr>
        <w:top w:val="none" w:sz="0" w:space="0" w:color="auto"/>
        <w:left w:val="none" w:sz="0" w:space="0" w:color="auto"/>
        <w:bottom w:val="none" w:sz="0" w:space="0" w:color="auto"/>
        <w:right w:val="none" w:sz="0" w:space="0" w:color="auto"/>
      </w:divBdr>
    </w:div>
    <w:div w:id="608440365">
      <w:bodyDiv w:val="1"/>
      <w:marLeft w:val="0"/>
      <w:marRight w:val="0"/>
      <w:marTop w:val="0"/>
      <w:marBottom w:val="0"/>
      <w:divBdr>
        <w:top w:val="none" w:sz="0" w:space="0" w:color="auto"/>
        <w:left w:val="none" w:sz="0" w:space="0" w:color="auto"/>
        <w:bottom w:val="none" w:sz="0" w:space="0" w:color="auto"/>
        <w:right w:val="none" w:sz="0" w:space="0" w:color="auto"/>
      </w:divBdr>
    </w:div>
    <w:div w:id="821701355">
      <w:bodyDiv w:val="1"/>
      <w:marLeft w:val="0"/>
      <w:marRight w:val="0"/>
      <w:marTop w:val="0"/>
      <w:marBottom w:val="0"/>
      <w:divBdr>
        <w:top w:val="none" w:sz="0" w:space="0" w:color="auto"/>
        <w:left w:val="none" w:sz="0" w:space="0" w:color="auto"/>
        <w:bottom w:val="none" w:sz="0" w:space="0" w:color="auto"/>
        <w:right w:val="none" w:sz="0" w:space="0" w:color="auto"/>
      </w:divBdr>
    </w:div>
    <w:div w:id="831260172">
      <w:bodyDiv w:val="1"/>
      <w:marLeft w:val="0"/>
      <w:marRight w:val="0"/>
      <w:marTop w:val="0"/>
      <w:marBottom w:val="0"/>
      <w:divBdr>
        <w:top w:val="none" w:sz="0" w:space="0" w:color="auto"/>
        <w:left w:val="none" w:sz="0" w:space="0" w:color="auto"/>
        <w:bottom w:val="none" w:sz="0" w:space="0" w:color="auto"/>
        <w:right w:val="none" w:sz="0" w:space="0" w:color="auto"/>
      </w:divBdr>
    </w:div>
    <w:div w:id="963074522">
      <w:bodyDiv w:val="1"/>
      <w:marLeft w:val="0"/>
      <w:marRight w:val="0"/>
      <w:marTop w:val="0"/>
      <w:marBottom w:val="0"/>
      <w:divBdr>
        <w:top w:val="none" w:sz="0" w:space="0" w:color="auto"/>
        <w:left w:val="none" w:sz="0" w:space="0" w:color="auto"/>
        <w:bottom w:val="none" w:sz="0" w:space="0" w:color="auto"/>
        <w:right w:val="none" w:sz="0" w:space="0" w:color="auto"/>
      </w:divBdr>
    </w:div>
    <w:div w:id="1341008162">
      <w:bodyDiv w:val="1"/>
      <w:marLeft w:val="0"/>
      <w:marRight w:val="0"/>
      <w:marTop w:val="0"/>
      <w:marBottom w:val="0"/>
      <w:divBdr>
        <w:top w:val="none" w:sz="0" w:space="0" w:color="auto"/>
        <w:left w:val="none" w:sz="0" w:space="0" w:color="auto"/>
        <w:bottom w:val="none" w:sz="0" w:space="0" w:color="auto"/>
        <w:right w:val="none" w:sz="0" w:space="0" w:color="auto"/>
      </w:divBdr>
    </w:div>
    <w:div w:id="1405568121">
      <w:bodyDiv w:val="1"/>
      <w:marLeft w:val="0"/>
      <w:marRight w:val="0"/>
      <w:marTop w:val="0"/>
      <w:marBottom w:val="0"/>
      <w:divBdr>
        <w:top w:val="none" w:sz="0" w:space="0" w:color="auto"/>
        <w:left w:val="none" w:sz="0" w:space="0" w:color="auto"/>
        <w:bottom w:val="none" w:sz="0" w:space="0" w:color="auto"/>
        <w:right w:val="none" w:sz="0" w:space="0" w:color="auto"/>
      </w:divBdr>
    </w:div>
    <w:div w:id="1415198830">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517845098">
      <w:bodyDiv w:val="1"/>
      <w:marLeft w:val="0"/>
      <w:marRight w:val="0"/>
      <w:marTop w:val="0"/>
      <w:marBottom w:val="0"/>
      <w:divBdr>
        <w:top w:val="none" w:sz="0" w:space="0" w:color="auto"/>
        <w:left w:val="none" w:sz="0" w:space="0" w:color="auto"/>
        <w:bottom w:val="none" w:sz="0" w:space="0" w:color="auto"/>
        <w:right w:val="none" w:sz="0" w:space="0" w:color="auto"/>
      </w:divBdr>
    </w:div>
    <w:div w:id="1549150628">
      <w:bodyDiv w:val="1"/>
      <w:marLeft w:val="0"/>
      <w:marRight w:val="0"/>
      <w:marTop w:val="0"/>
      <w:marBottom w:val="0"/>
      <w:divBdr>
        <w:top w:val="none" w:sz="0" w:space="0" w:color="auto"/>
        <w:left w:val="none" w:sz="0" w:space="0" w:color="auto"/>
        <w:bottom w:val="none" w:sz="0" w:space="0" w:color="auto"/>
        <w:right w:val="none" w:sz="0" w:space="0" w:color="auto"/>
      </w:divBdr>
    </w:div>
    <w:div w:id="1574197564">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18026757">
      <w:bodyDiv w:val="1"/>
      <w:marLeft w:val="0"/>
      <w:marRight w:val="0"/>
      <w:marTop w:val="0"/>
      <w:marBottom w:val="0"/>
      <w:divBdr>
        <w:top w:val="none" w:sz="0" w:space="0" w:color="auto"/>
        <w:left w:val="none" w:sz="0" w:space="0" w:color="auto"/>
        <w:bottom w:val="none" w:sz="0" w:space="0" w:color="auto"/>
        <w:right w:val="none" w:sz="0" w:space="0" w:color="auto"/>
      </w:divBdr>
    </w:div>
    <w:div w:id="1757048065">
      <w:bodyDiv w:val="1"/>
      <w:marLeft w:val="0"/>
      <w:marRight w:val="0"/>
      <w:marTop w:val="0"/>
      <w:marBottom w:val="0"/>
      <w:divBdr>
        <w:top w:val="none" w:sz="0" w:space="0" w:color="auto"/>
        <w:left w:val="none" w:sz="0" w:space="0" w:color="auto"/>
        <w:bottom w:val="none" w:sz="0" w:space="0" w:color="auto"/>
        <w:right w:val="none" w:sz="0" w:space="0" w:color="auto"/>
      </w:divBdr>
    </w:div>
    <w:div w:id="1766460603">
      <w:bodyDiv w:val="1"/>
      <w:marLeft w:val="0"/>
      <w:marRight w:val="0"/>
      <w:marTop w:val="0"/>
      <w:marBottom w:val="0"/>
      <w:divBdr>
        <w:top w:val="none" w:sz="0" w:space="0" w:color="auto"/>
        <w:left w:val="none" w:sz="0" w:space="0" w:color="auto"/>
        <w:bottom w:val="none" w:sz="0" w:space="0" w:color="auto"/>
        <w:right w:val="none" w:sz="0" w:space="0" w:color="auto"/>
      </w:divBdr>
    </w:div>
    <w:div w:id="1863586995">
      <w:bodyDiv w:val="1"/>
      <w:marLeft w:val="0"/>
      <w:marRight w:val="0"/>
      <w:marTop w:val="0"/>
      <w:marBottom w:val="0"/>
      <w:divBdr>
        <w:top w:val="none" w:sz="0" w:space="0" w:color="auto"/>
        <w:left w:val="none" w:sz="0" w:space="0" w:color="auto"/>
        <w:bottom w:val="none" w:sz="0" w:space="0" w:color="auto"/>
        <w:right w:val="none" w:sz="0" w:space="0" w:color="auto"/>
      </w:divBdr>
    </w:div>
    <w:div w:id="1905067147">
      <w:bodyDiv w:val="1"/>
      <w:marLeft w:val="0"/>
      <w:marRight w:val="0"/>
      <w:marTop w:val="0"/>
      <w:marBottom w:val="0"/>
      <w:divBdr>
        <w:top w:val="none" w:sz="0" w:space="0" w:color="auto"/>
        <w:left w:val="none" w:sz="0" w:space="0" w:color="auto"/>
        <w:bottom w:val="none" w:sz="0" w:space="0" w:color="auto"/>
        <w:right w:val="none" w:sz="0" w:space="0" w:color="auto"/>
      </w:divBdr>
    </w:div>
    <w:div w:id="191485678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70933645">
      <w:bodyDiv w:val="1"/>
      <w:marLeft w:val="0"/>
      <w:marRight w:val="0"/>
      <w:marTop w:val="0"/>
      <w:marBottom w:val="0"/>
      <w:divBdr>
        <w:top w:val="none" w:sz="0" w:space="0" w:color="auto"/>
        <w:left w:val="none" w:sz="0" w:space="0" w:color="auto"/>
        <w:bottom w:val="none" w:sz="0" w:space="0" w:color="auto"/>
        <w:right w:val="none" w:sz="0" w:space="0" w:color="auto"/>
      </w:divBdr>
    </w:div>
    <w:div w:id="2013069425">
      <w:bodyDiv w:val="1"/>
      <w:marLeft w:val="0"/>
      <w:marRight w:val="0"/>
      <w:marTop w:val="0"/>
      <w:marBottom w:val="0"/>
      <w:divBdr>
        <w:top w:val="none" w:sz="0" w:space="0" w:color="auto"/>
        <w:left w:val="none" w:sz="0" w:space="0" w:color="auto"/>
        <w:bottom w:val="none" w:sz="0" w:space="0" w:color="auto"/>
        <w:right w:val="none" w:sz="0" w:space="0" w:color="auto"/>
      </w:divBdr>
    </w:div>
    <w:div w:id="2036232236">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187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MAJSTOROVIĆ, Dragica</Reference>
    <Case_x0020_Year xmlns="63130c8a-8d1f-4e28-8ee3-43603ca9ef3b">2009</Case_x0020_Year>
    <Case_x0020_Status xmlns="16f2acb5-7363-4076-9084-069fc3bb4325">CASE CLOSED</Case_x0020_Status>
    <Date_x0020_of_x0020_Adoption xmlns="16f2acb5-7363-4076-9084-069fc3bb4325">2013-07-30T22:00:00+00:00</Date_x0020_of_x0020_Adoption>
    <Case_x0020_Number xmlns="16f2acb5-7363-4076-9084-069fc3bb4325">042/09</Case_x0020_Number>
    <Type_x0020_of_x0020_Document xmlns="16f2acb5-7363-4076-9084-069fc3bb4325">Opinion</Type_x0020_of_x0020_Document>
    <_dlc_DocId xmlns="b9fab99d-1571-47f6-8995-3a195ef041f8">M5JDUUKXSQ5W-25-803</_dlc_DocId>
    <_dlc_DocIdUrl xmlns="b9fab99d-1571-47f6-8995-3a195ef041f8">
      <Url>http://prod.unmikonline.org/hrap/Eng/_layouts/DocIdRedir.aspx?ID=M5JDUUKXSQ5W-25-803</Url>
      <Description>M5JDUUKXSQ5W-25-803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8E453-4DDD-4F79-9928-9C1F98D83776}"/>
</file>

<file path=customXml/itemProps2.xml><?xml version="1.0" encoding="utf-8"?>
<ds:datastoreItem xmlns:ds="http://schemas.openxmlformats.org/officeDocument/2006/customXml" ds:itemID="{0FFBFE25-E90C-4BF0-A157-330BE0349C60}"/>
</file>

<file path=customXml/itemProps3.xml><?xml version="1.0" encoding="utf-8"?>
<ds:datastoreItem xmlns:ds="http://schemas.openxmlformats.org/officeDocument/2006/customXml" ds:itemID="{37C799AE-340E-476B-8166-8F18C78705A5}"/>
</file>

<file path=customXml/itemProps4.xml><?xml version="1.0" encoding="utf-8"?>
<ds:datastoreItem xmlns:ds="http://schemas.openxmlformats.org/officeDocument/2006/customXml" ds:itemID="{E337597A-1295-4E93-8121-1FAC92E21916}"/>
</file>

<file path=customXml/itemProps5.xml><?xml version="1.0" encoding="utf-8"?>
<ds:datastoreItem xmlns:ds="http://schemas.openxmlformats.org/officeDocument/2006/customXml" ds:itemID="{A7FB5425-B8CD-461C-9678-244C73F3BFAF}"/>
</file>

<file path=docProps/app.xml><?xml version="1.0" encoding="utf-8"?>
<Properties xmlns="http://schemas.openxmlformats.org/officeDocument/2006/extended-properties" xmlns:vt="http://schemas.openxmlformats.org/officeDocument/2006/docPropsVTypes">
  <Template>Normal</Template>
  <TotalTime>0</TotalTime>
  <Pages>26</Pages>
  <Words>12535</Words>
  <Characters>71452</Characters>
  <Application>Microsoft Office Word</Application>
  <DocSecurity>0</DocSecurity>
  <Lines>595</Lines>
  <Paragraphs>167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lpstr>
    </vt:vector>
  </TitlesOfParts>
  <Company>UN</Company>
  <LinksUpToDate>false</LinksUpToDate>
  <CharactersWithSpaces>83820</CharactersWithSpaces>
  <SharedDoc>false</SharedDoc>
  <HLinks>
    <vt:vector size="18" baseType="variant">
      <vt:variant>
        <vt:i4>3473468</vt:i4>
      </vt:variant>
      <vt:variant>
        <vt:i4>0</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2013-07-29T07:35:00Z</cp:lastPrinted>
  <dcterms:created xsi:type="dcterms:W3CDTF">2013-09-09T11:53:00Z</dcterms:created>
  <dcterms:modified xsi:type="dcterms:W3CDTF">2013-09-09T11:53:00Z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d6766882-6f76-47b4-8b69-0c62a4a9fa34</vt:lpwstr>
  </property>
</Properties>
</file>